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039C3" w14:textId="77777777" w:rsidR="001C5907" w:rsidRDefault="001C5907" w:rsidP="00E463A7">
      <w:pPr>
        <w:spacing w:before="120" w:after="120" w:line="240" w:lineRule="auto"/>
        <w:jc w:val="center"/>
        <w:rPr>
          <w:rFonts w:ascii="Arial" w:hAnsi="Arial" w:cs="Arial"/>
          <w:b/>
        </w:rPr>
      </w:pPr>
    </w:p>
    <w:p w14:paraId="2EABA431" w14:textId="77777777" w:rsidR="001C5907" w:rsidRDefault="001C5907" w:rsidP="00E463A7">
      <w:pPr>
        <w:spacing w:before="120" w:after="120" w:line="240" w:lineRule="auto"/>
        <w:jc w:val="center"/>
        <w:rPr>
          <w:rFonts w:ascii="Arial" w:hAnsi="Arial" w:cs="Arial"/>
          <w:b/>
        </w:rPr>
      </w:pPr>
    </w:p>
    <w:p w14:paraId="5061C996" w14:textId="5334E114" w:rsidR="009F3D6C" w:rsidRDefault="005F19E6" w:rsidP="00E463A7">
      <w:pPr>
        <w:spacing w:before="120" w:after="120" w:line="240" w:lineRule="auto"/>
        <w:jc w:val="center"/>
        <w:rPr>
          <w:rFonts w:ascii="Arial" w:hAnsi="Arial" w:cs="Arial"/>
          <w:b/>
        </w:rPr>
      </w:pPr>
      <w:r>
        <w:rPr>
          <w:rFonts w:ascii="Arial" w:hAnsi="Arial" w:cs="Arial"/>
          <w:b/>
        </w:rPr>
        <w:t>COURSE</w:t>
      </w:r>
      <w:r w:rsidR="005D75F5" w:rsidRPr="00A40796">
        <w:rPr>
          <w:rFonts w:ascii="Arial" w:hAnsi="Arial" w:cs="Arial"/>
          <w:b/>
        </w:rPr>
        <w:t xml:space="preserve"> </w:t>
      </w:r>
      <w:r w:rsidR="009F3D6C">
        <w:rPr>
          <w:rFonts w:ascii="Arial" w:hAnsi="Arial" w:cs="Arial"/>
          <w:b/>
        </w:rPr>
        <w:br/>
        <w:t>‘BUSINESS AND NATURAL RESOURCES RIGHTS’</w:t>
      </w:r>
    </w:p>
    <w:p w14:paraId="79B58D81" w14:textId="48DFF4E6" w:rsidR="009F3D6C" w:rsidRDefault="009F3D6C" w:rsidP="009F3D6C">
      <w:pPr>
        <w:spacing w:before="120" w:after="120" w:line="240" w:lineRule="auto"/>
        <w:rPr>
          <w:rFonts w:ascii="Arial" w:hAnsi="Arial" w:cs="Arial"/>
          <w:b/>
        </w:rPr>
      </w:pPr>
    </w:p>
    <w:p w14:paraId="7F3E1D40" w14:textId="7085927E" w:rsidR="001C5907" w:rsidRPr="00A40796" w:rsidRDefault="001C5907" w:rsidP="001C5907">
      <w:pPr>
        <w:spacing w:before="120" w:after="120" w:line="240" w:lineRule="auto"/>
        <w:rPr>
          <w:rFonts w:ascii="Arial" w:hAnsi="Arial" w:cs="Arial"/>
          <w:b/>
        </w:rPr>
      </w:pPr>
      <w:r>
        <w:rPr>
          <w:rFonts w:ascii="Arial" w:hAnsi="Arial" w:cs="Arial"/>
          <w:b/>
        </w:rPr>
        <w:t>SESSION 2</w:t>
      </w:r>
    </w:p>
    <w:p w14:paraId="0229E16C" w14:textId="0CF52B19" w:rsidR="001C5907" w:rsidRDefault="001C5907" w:rsidP="001C5907">
      <w:pPr>
        <w:rPr>
          <w:rFonts w:ascii="Arial" w:hAnsi="Arial" w:cs="Arial"/>
          <w:b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655"/>
      </w:tblGrid>
      <w:tr w:rsidR="001C5907" w:rsidRPr="00A40796" w14:paraId="1115D2C9" w14:textId="77777777" w:rsidTr="00857C5E">
        <w:trPr>
          <w:trHeight w:val="276"/>
        </w:trPr>
        <w:tc>
          <w:tcPr>
            <w:tcW w:w="1843" w:type="dxa"/>
            <w:shd w:val="clear" w:color="auto" w:fill="E6E6E6"/>
            <w:vAlign w:val="center"/>
          </w:tcPr>
          <w:p w14:paraId="1BB9AE19" w14:textId="77777777" w:rsidR="001C5907" w:rsidRPr="009F3D6C" w:rsidRDefault="001C5907" w:rsidP="00857C5E">
            <w:pPr>
              <w:spacing w:before="120" w:after="120" w:line="240" w:lineRule="auto"/>
              <w:ind w:right="-108"/>
              <w:rPr>
                <w:rFonts w:ascii="Arial" w:hAnsi="Arial" w:cs="Arial"/>
                <w:b/>
                <w:bCs/>
              </w:rPr>
            </w:pPr>
            <w:r w:rsidRPr="009F3D6C">
              <w:rPr>
                <w:rFonts w:ascii="Arial" w:hAnsi="Arial" w:cs="Arial"/>
                <w:b/>
                <w:bCs/>
              </w:rPr>
              <w:t>Session title</w:t>
            </w:r>
          </w:p>
        </w:tc>
        <w:tc>
          <w:tcPr>
            <w:tcW w:w="7655" w:type="dxa"/>
            <w:shd w:val="clear" w:color="auto" w:fill="E6E6E6"/>
            <w:vAlign w:val="center"/>
          </w:tcPr>
          <w:p w14:paraId="3D58C1F6" w14:textId="19A3FD93" w:rsidR="001C5907" w:rsidRPr="001C5907" w:rsidRDefault="001C5907" w:rsidP="001C5907">
            <w:pPr>
              <w:keepNext/>
              <w:keepLines/>
              <w:spacing w:before="120" w:after="120" w:line="240" w:lineRule="auto"/>
              <w:rPr>
                <w:rFonts w:ascii="Arial" w:hAnsi="Arial" w:cs="Arial"/>
                <w:b/>
                <w:bCs/>
              </w:rPr>
            </w:pPr>
            <w:r>
              <w:rPr>
                <w:rFonts w:ascii="Arial" w:hAnsi="Arial" w:cs="Arial"/>
                <w:b/>
                <w:bCs/>
              </w:rPr>
              <w:t>Rights to land, natural resources, etc.</w:t>
            </w:r>
            <w:r w:rsidRPr="00981234">
              <w:rPr>
                <w:rFonts w:ascii="Arial" w:hAnsi="Arial" w:cs="Arial"/>
                <w:b/>
                <w:bCs/>
              </w:rPr>
              <w:t xml:space="preserve"> as indigenous rights? </w:t>
            </w:r>
          </w:p>
        </w:tc>
      </w:tr>
      <w:tr w:rsidR="001C5907" w:rsidRPr="00A40796" w14:paraId="5E68D4C8" w14:textId="77777777" w:rsidTr="00857C5E">
        <w:trPr>
          <w:trHeight w:val="257"/>
        </w:trPr>
        <w:tc>
          <w:tcPr>
            <w:tcW w:w="1843" w:type="dxa"/>
          </w:tcPr>
          <w:p w14:paraId="0D442963" w14:textId="77777777" w:rsidR="001C5907" w:rsidRPr="00A40796" w:rsidRDefault="001C5907" w:rsidP="00857C5E">
            <w:pPr>
              <w:spacing w:before="120" w:after="120" w:line="240" w:lineRule="auto"/>
              <w:ind w:right="-108"/>
              <w:rPr>
                <w:rFonts w:ascii="Arial" w:hAnsi="Arial" w:cs="Arial"/>
              </w:rPr>
            </w:pPr>
            <w:r>
              <w:rPr>
                <w:rFonts w:ascii="Arial" w:hAnsi="Arial" w:cs="Arial"/>
              </w:rPr>
              <w:t>Type of the session</w:t>
            </w:r>
          </w:p>
        </w:tc>
        <w:tc>
          <w:tcPr>
            <w:tcW w:w="7655" w:type="dxa"/>
            <w:vAlign w:val="center"/>
          </w:tcPr>
          <w:p w14:paraId="0AF46F91" w14:textId="77777777" w:rsidR="001C5907" w:rsidRPr="00A40796" w:rsidRDefault="001C5907" w:rsidP="00857C5E">
            <w:pPr>
              <w:spacing w:before="120" w:after="120" w:line="240" w:lineRule="auto"/>
              <w:rPr>
                <w:rFonts w:ascii="Arial" w:hAnsi="Arial" w:cs="Arial"/>
              </w:rPr>
            </w:pPr>
            <w:r>
              <w:rPr>
                <w:rFonts w:ascii="Arial" w:hAnsi="Arial" w:cs="Arial"/>
              </w:rPr>
              <w:t>Lecture</w:t>
            </w:r>
          </w:p>
        </w:tc>
      </w:tr>
    </w:tbl>
    <w:p w14:paraId="76B7E4F4" w14:textId="77777777" w:rsidR="001C5907" w:rsidRPr="00A40796" w:rsidRDefault="001C5907" w:rsidP="001C5907">
      <w:pPr>
        <w:spacing w:before="120" w:after="120" w:line="240" w:lineRule="auto"/>
        <w:rPr>
          <w:rFonts w:ascii="Arial" w:hAnsi="Arial" w:cs="Arial"/>
        </w:rPr>
      </w:pPr>
    </w:p>
    <w:p w14:paraId="07D75EDA" w14:textId="77777777" w:rsidR="001C5907" w:rsidRDefault="001C5907" w:rsidP="001C5907">
      <w:pPr>
        <w:spacing w:before="120" w:after="120" w:line="240" w:lineRule="auto"/>
        <w:rPr>
          <w:rFonts w:ascii="Arial" w:hAnsi="Arial" w:cs="Arial"/>
          <w:b/>
        </w:rPr>
      </w:pPr>
      <w:r>
        <w:rPr>
          <w:rFonts w:ascii="Arial" w:hAnsi="Arial" w:cs="Arial"/>
          <w:b/>
        </w:rPr>
        <w:t>SESSION</w:t>
      </w:r>
      <w:r w:rsidRPr="00A40796">
        <w:rPr>
          <w:rFonts w:ascii="Arial" w:hAnsi="Arial" w:cs="Arial"/>
          <w:b/>
        </w:rPr>
        <w:t xml:space="preserve"> ABSTRACT</w:t>
      </w:r>
    </w:p>
    <w:p w14:paraId="6C5E8E8F" w14:textId="0E3527B1" w:rsidR="001C5907" w:rsidRDefault="00053058" w:rsidP="00FA08C9">
      <w:pPr>
        <w:keepNext/>
        <w:keepLines/>
        <w:spacing w:before="120" w:after="120" w:line="240" w:lineRule="auto"/>
        <w:jc w:val="both"/>
        <w:rPr>
          <w:rFonts w:ascii="Arial" w:hAnsi="Arial" w:cs="Arial"/>
        </w:rPr>
      </w:pPr>
      <w:r>
        <w:rPr>
          <w:rFonts w:ascii="Arial" w:hAnsi="Arial" w:cs="Arial"/>
        </w:rPr>
        <w:t xml:space="preserve">This lecture discusses the rights to land and natural resources specifically in context of indigenous peoples. The notion of indigenous peoples will first be concetualised. Special focus is made on the ILO Convention 169 (1989) as well as the </w:t>
      </w:r>
      <w:r w:rsidRPr="00053058">
        <w:rPr>
          <w:rFonts w:ascii="Arial" w:hAnsi="Arial" w:cs="Arial"/>
        </w:rPr>
        <w:t>United Nations Declaration on the Rights of Indigenous Peoples (2007)</w:t>
      </w:r>
      <w:r>
        <w:rPr>
          <w:rFonts w:ascii="Arial" w:hAnsi="Arial" w:cs="Arial"/>
        </w:rPr>
        <w:t xml:space="preserve">. </w:t>
      </w:r>
    </w:p>
    <w:p w14:paraId="28406168" w14:textId="77777777" w:rsidR="00053058" w:rsidRDefault="00053058" w:rsidP="001C5907">
      <w:pPr>
        <w:keepNext/>
        <w:keepLines/>
        <w:spacing w:before="120" w:after="120" w:line="240" w:lineRule="auto"/>
        <w:rPr>
          <w:rFonts w:ascii="Arial" w:hAnsi="Arial" w:cs="Arial"/>
        </w:rPr>
      </w:pPr>
    </w:p>
    <w:p w14:paraId="68CF4D77" w14:textId="77777777" w:rsidR="001C5907" w:rsidRPr="00D25887" w:rsidRDefault="001C5907" w:rsidP="001C5907">
      <w:pPr>
        <w:keepNext/>
        <w:keepLines/>
        <w:spacing w:before="120" w:after="120" w:line="240" w:lineRule="auto"/>
        <w:rPr>
          <w:rFonts w:ascii="Arial" w:hAnsi="Arial" w:cs="Arial"/>
          <w:b/>
        </w:rPr>
      </w:pPr>
      <w:r w:rsidRPr="00D25887">
        <w:rPr>
          <w:rFonts w:ascii="Arial" w:hAnsi="Arial" w:cs="Arial"/>
          <w:b/>
        </w:rPr>
        <w:t>SESSION READINGS</w:t>
      </w:r>
    </w:p>
    <w:tbl>
      <w:tblPr>
        <w:tblStyle w:val="TableGrid"/>
        <w:tblW w:w="9493" w:type="dxa"/>
        <w:tblLook w:val="04A0" w:firstRow="1" w:lastRow="0" w:firstColumn="1" w:lastColumn="0" w:noHBand="0" w:noVBand="1"/>
      </w:tblPr>
      <w:tblGrid>
        <w:gridCol w:w="9578"/>
      </w:tblGrid>
      <w:tr w:rsidR="001C5907" w14:paraId="51F8B097" w14:textId="77777777" w:rsidTr="00857C5E">
        <w:tc>
          <w:tcPr>
            <w:tcW w:w="9493" w:type="dxa"/>
            <w:shd w:val="clear" w:color="auto" w:fill="E7E6E6" w:themeFill="background2"/>
          </w:tcPr>
          <w:p w14:paraId="73DBCA9C" w14:textId="77777777" w:rsidR="001C5907" w:rsidRPr="009F3D6C" w:rsidRDefault="001C5907" w:rsidP="00857C5E">
            <w:pPr>
              <w:keepNext/>
              <w:keepLines/>
              <w:spacing w:before="120" w:after="120"/>
              <w:rPr>
                <w:rFonts w:ascii="Arial" w:hAnsi="Arial" w:cs="Arial"/>
                <w:b/>
              </w:rPr>
            </w:pPr>
            <w:r w:rsidRPr="009F3D6C">
              <w:rPr>
                <w:rFonts w:ascii="Arial" w:hAnsi="Arial" w:cs="Arial"/>
                <w:b/>
              </w:rPr>
              <w:t xml:space="preserve">Mandatory </w:t>
            </w:r>
          </w:p>
        </w:tc>
      </w:tr>
      <w:tr w:rsidR="009402C6" w14:paraId="36FA1575" w14:textId="77777777" w:rsidTr="00857C5E">
        <w:tc>
          <w:tcPr>
            <w:tcW w:w="9493" w:type="dxa"/>
          </w:tcPr>
          <w:p w14:paraId="6CE20C2D" w14:textId="1B7A7276" w:rsidR="009402C6" w:rsidRPr="009402C6" w:rsidRDefault="009402C6" w:rsidP="00857C5E">
            <w:pPr>
              <w:keepNext/>
              <w:keepLines/>
              <w:spacing w:before="120" w:after="120"/>
              <w:rPr>
                <w:rFonts w:ascii="Arial" w:hAnsi="Arial" w:cs="Arial"/>
                <w:bCs/>
              </w:rPr>
            </w:pPr>
            <w:r>
              <w:rPr>
                <w:rFonts w:ascii="Arial" w:hAnsi="Arial" w:cs="Arial"/>
                <w:bCs/>
              </w:rPr>
              <w:t>ILO</w:t>
            </w:r>
            <w:r w:rsidRPr="009402C6">
              <w:rPr>
                <w:rFonts w:ascii="Arial" w:hAnsi="Arial" w:cs="Arial"/>
                <w:bCs/>
              </w:rPr>
              <w:t xml:space="preserve"> Indigenous and Tribal Peoples Convention</w:t>
            </w:r>
            <w:r>
              <w:rPr>
                <w:rFonts w:ascii="Arial" w:hAnsi="Arial" w:cs="Arial"/>
                <w:bCs/>
              </w:rPr>
              <w:t xml:space="preserve"> (</w:t>
            </w:r>
            <w:r w:rsidRPr="009402C6">
              <w:rPr>
                <w:rFonts w:ascii="Arial" w:hAnsi="Arial" w:cs="Arial"/>
                <w:bCs/>
              </w:rPr>
              <w:t>1989</w:t>
            </w:r>
            <w:r>
              <w:rPr>
                <w:rFonts w:ascii="Arial" w:hAnsi="Arial" w:cs="Arial"/>
                <w:bCs/>
              </w:rPr>
              <w:t>)</w:t>
            </w:r>
          </w:p>
        </w:tc>
      </w:tr>
      <w:tr w:rsidR="009402C6" w14:paraId="307E270D" w14:textId="77777777" w:rsidTr="00857C5E">
        <w:tc>
          <w:tcPr>
            <w:tcW w:w="9493" w:type="dxa"/>
          </w:tcPr>
          <w:p w14:paraId="4BAFC0A4" w14:textId="017DDA3D" w:rsidR="009402C6" w:rsidRPr="009402C6" w:rsidRDefault="009402C6" w:rsidP="009402C6">
            <w:pPr>
              <w:keepNext/>
              <w:keepLines/>
              <w:spacing w:before="120" w:after="120"/>
              <w:rPr>
                <w:rFonts w:ascii="Arial" w:hAnsi="Arial" w:cs="Arial"/>
                <w:bCs/>
              </w:rPr>
            </w:pPr>
            <w:r w:rsidRPr="009402C6">
              <w:rPr>
                <w:rFonts w:ascii="Arial" w:hAnsi="Arial" w:cs="Arial"/>
                <w:bCs/>
              </w:rPr>
              <w:t>United Nations Declaration</w:t>
            </w:r>
            <w:r>
              <w:rPr>
                <w:rFonts w:ascii="Arial" w:hAnsi="Arial" w:cs="Arial"/>
                <w:bCs/>
              </w:rPr>
              <w:t xml:space="preserve"> </w:t>
            </w:r>
            <w:r w:rsidRPr="009402C6">
              <w:rPr>
                <w:rFonts w:ascii="Arial" w:hAnsi="Arial" w:cs="Arial"/>
                <w:bCs/>
              </w:rPr>
              <w:t>on the Rights of Indigenous Peoples</w:t>
            </w:r>
            <w:r>
              <w:rPr>
                <w:rFonts w:ascii="Arial" w:hAnsi="Arial" w:cs="Arial"/>
                <w:bCs/>
              </w:rPr>
              <w:t xml:space="preserve"> (2007)</w:t>
            </w:r>
          </w:p>
        </w:tc>
      </w:tr>
      <w:tr w:rsidR="001C5907" w14:paraId="040AE14D" w14:textId="77777777" w:rsidTr="00857C5E">
        <w:tc>
          <w:tcPr>
            <w:tcW w:w="9493" w:type="dxa"/>
          </w:tcPr>
          <w:p w14:paraId="4C9B7CAD" w14:textId="1174D5F9" w:rsidR="001C5907" w:rsidRDefault="009402C6" w:rsidP="00857C5E">
            <w:pPr>
              <w:keepNext/>
              <w:keepLines/>
              <w:spacing w:before="120" w:after="120"/>
              <w:rPr>
                <w:rFonts w:ascii="Arial" w:hAnsi="Arial" w:cs="Arial"/>
                <w:bCs/>
              </w:rPr>
            </w:pPr>
            <w:r w:rsidRPr="009402C6">
              <w:rPr>
                <w:rFonts w:ascii="Arial" w:hAnsi="Arial" w:cs="Arial"/>
                <w:bCs/>
              </w:rPr>
              <w:t>Indigenous peoples’ collective rights to lands, territories and natural resources</w:t>
            </w:r>
            <w:r>
              <w:rPr>
                <w:rFonts w:ascii="Arial" w:hAnsi="Arial" w:cs="Arial"/>
                <w:bCs/>
              </w:rPr>
              <w:t xml:space="preserve">: </w:t>
            </w:r>
            <w:r w:rsidRPr="009402C6">
              <w:rPr>
                <w:rFonts w:ascii="Arial" w:hAnsi="Arial" w:cs="Arial"/>
                <w:bCs/>
              </w:rPr>
              <w:t>Lessons from IFAD-supported projects</w:t>
            </w:r>
            <w:r>
              <w:rPr>
                <w:rFonts w:ascii="Arial" w:hAnsi="Arial" w:cs="Arial"/>
                <w:bCs/>
              </w:rPr>
              <w:t xml:space="preserve">. </w:t>
            </w:r>
            <w:r w:rsidRPr="009402C6">
              <w:rPr>
                <w:rFonts w:ascii="Arial" w:hAnsi="Arial" w:cs="Arial"/>
                <w:bCs/>
              </w:rPr>
              <w:t>International Fund for Agricultural Development</w:t>
            </w:r>
          </w:p>
        </w:tc>
      </w:tr>
      <w:tr w:rsidR="001C5907" w14:paraId="20D291BE" w14:textId="77777777" w:rsidTr="00857C5E">
        <w:tc>
          <w:tcPr>
            <w:tcW w:w="9493" w:type="dxa"/>
            <w:shd w:val="clear" w:color="auto" w:fill="E7E6E6" w:themeFill="background2"/>
          </w:tcPr>
          <w:p w14:paraId="30720264" w14:textId="77777777" w:rsidR="001C5907" w:rsidRPr="009F3D6C" w:rsidRDefault="001C5907" w:rsidP="00857C5E">
            <w:pPr>
              <w:keepNext/>
              <w:keepLines/>
              <w:spacing w:before="120" w:after="120"/>
              <w:rPr>
                <w:rFonts w:ascii="Arial" w:hAnsi="Arial" w:cs="Arial"/>
                <w:b/>
              </w:rPr>
            </w:pPr>
            <w:r w:rsidRPr="009F3D6C">
              <w:rPr>
                <w:rFonts w:ascii="Arial" w:hAnsi="Arial" w:cs="Arial"/>
                <w:b/>
              </w:rPr>
              <w:t xml:space="preserve">Optional </w:t>
            </w:r>
            <w:r>
              <w:rPr>
                <w:rFonts w:ascii="Arial" w:hAnsi="Arial" w:cs="Arial"/>
                <w:b/>
              </w:rPr>
              <w:t>&amp;</w:t>
            </w:r>
            <w:r w:rsidRPr="009F3D6C">
              <w:rPr>
                <w:rFonts w:ascii="Arial" w:hAnsi="Arial" w:cs="Arial"/>
                <w:b/>
              </w:rPr>
              <w:t xml:space="preserve"> recommended</w:t>
            </w:r>
          </w:p>
        </w:tc>
      </w:tr>
      <w:tr w:rsidR="001C5907" w14:paraId="02732D58" w14:textId="77777777" w:rsidTr="00857C5E">
        <w:tc>
          <w:tcPr>
            <w:tcW w:w="9493" w:type="dxa"/>
          </w:tcPr>
          <w:p w14:paraId="492DF094" w14:textId="2ACA5B3A" w:rsidR="001C5907" w:rsidRDefault="00EE44DD" w:rsidP="00857C5E">
            <w:pPr>
              <w:keepNext/>
              <w:keepLines/>
              <w:spacing w:before="120" w:after="120"/>
              <w:rPr>
                <w:rFonts w:ascii="Arial" w:hAnsi="Arial" w:cs="Arial"/>
                <w:bCs/>
              </w:rPr>
            </w:pPr>
            <w:r w:rsidRPr="00EE44DD">
              <w:rPr>
                <w:rFonts w:ascii="Arial" w:hAnsi="Arial" w:cs="Arial"/>
                <w:bCs/>
              </w:rPr>
              <w:t>Ulfstein, Geir</w:t>
            </w:r>
            <w:r>
              <w:rPr>
                <w:rFonts w:ascii="Arial" w:hAnsi="Arial" w:cs="Arial"/>
                <w:bCs/>
              </w:rPr>
              <w:t xml:space="preserve">. </w:t>
            </w:r>
            <w:r w:rsidRPr="00EE44DD">
              <w:rPr>
                <w:rFonts w:ascii="Arial" w:hAnsi="Arial" w:cs="Arial"/>
                <w:bCs/>
              </w:rPr>
              <w:t>Indigenous Peoples' Right to Land (October 3, 2011)</w:t>
            </w:r>
            <w:r>
              <w:rPr>
                <w:rFonts w:ascii="Arial" w:hAnsi="Arial" w:cs="Arial"/>
                <w:bCs/>
              </w:rPr>
              <w:t xml:space="preserve"> in</w:t>
            </w:r>
            <w:r w:rsidRPr="00EE44DD">
              <w:rPr>
                <w:rFonts w:ascii="Arial" w:hAnsi="Arial" w:cs="Arial"/>
                <w:bCs/>
              </w:rPr>
              <w:t xml:space="preserve"> </w:t>
            </w:r>
            <w:r w:rsidRPr="00EE44DD">
              <w:rPr>
                <w:rFonts w:ascii="Arial" w:hAnsi="Arial" w:cs="Arial"/>
                <w:bCs/>
                <w:i/>
                <w:iCs/>
              </w:rPr>
              <w:t>Max Planck Yearbook of United Nations Law 2004</w:t>
            </w:r>
            <w:r w:rsidRPr="00EE44DD">
              <w:rPr>
                <w:rFonts w:ascii="Arial" w:hAnsi="Arial" w:cs="Arial"/>
                <w:bCs/>
              </w:rPr>
              <w:t xml:space="preserve">, </w:t>
            </w:r>
            <w:r>
              <w:rPr>
                <w:rFonts w:ascii="Arial" w:hAnsi="Arial" w:cs="Arial"/>
                <w:bCs/>
              </w:rPr>
              <w:t>v</w:t>
            </w:r>
            <w:r w:rsidRPr="00EE44DD">
              <w:rPr>
                <w:rFonts w:ascii="Arial" w:hAnsi="Arial" w:cs="Arial"/>
                <w:bCs/>
              </w:rPr>
              <w:t xml:space="preserve">ol. 8, Armin von Bogdandy, Rüdiger Wolfrum, </w:t>
            </w:r>
            <w:r>
              <w:rPr>
                <w:rFonts w:ascii="Arial" w:hAnsi="Arial" w:cs="Arial"/>
                <w:bCs/>
              </w:rPr>
              <w:t>(</w:t>
            </w:r>
            <w:r w:rsidRPr="00EE44DD">
              <w:rPr>
                <w:rFonts w:ascii="Arial" w:hAnsi="Arial" w:cs="Arial"/>
                <w:bCs/>
              </w:rPr>
              <w:t>eds.</w:t>
            </w:r>
            <w:r>
              <w:rPr>
                <w:rFonts w:ascii="Arial" w:hAnsi="Arial" w:cs="Arial"/>
                <w:bCs/>
              </w:rPr>
              <w:t>) (</w:t>
            </w:r>
            <w:r w:rsidRPr="00EE44DD">
              <w:rPr>
                <w:rFonts w:ascii="Arial" w:hAnsi="Arial" w:cs="Arial"/>
                <w:bCs/>
              </w:rPr>
              <w:t>Kluwer Academic Publishers, 2004</w:t>
            </w:r>
            <w:r>
              <w:rPr>
                <w:rFonts w:ascii="Arial" w:hAnsi="Arial" w:cs="Arial"/>
                <w:bCs/>
              </w:rPr>
              <w:t xml:space="preserve">). </w:t>
            </w:r>
          </w:p>
        </w:tc>
      </w:tr>
      <w:tr w:rsidR="001C5907" w14:paraId="524EF98E" w14:textId="77777777" w:rsidTr="00857C5E">
        <w:tc>
          <w:tcPr>
            <w:tcW w:w="9493" w:type="dxa"/>
          </w:tcPr>
          <w:p w14:paraId="179F38B3" w14:textId="394553F3" w:rsidR="001C5907" w:rsidRDefault="00EE44DD" w:rsidP="00857C5E">
            <w:pPr>
              <w:keepNext/>
              <w:keepLines/>
              <w:spacing w:before="120" w:after="120"/>
              <w:rPr>
                <w:rFonts w:ascii="Arial" w:hAnsi="Arial" w:cs="Arial"/>
                <w:bCs/>
              </w:rPr>
            </w:pPr>
            <w:r>
              <w:rPr>
                <w:rFonts w:ascii="Arial" w:hAnsi="Arial" w:cs="Arial"/>
                <w:bCs/>
              </w:rPr>
              <w:t>Online lecture ‘</w:t>
            </w:r>
            <w:r w:rsidRPr="00EE44DD">
              <w:rPr>
                <w:rFonts w:ascii="Arial" w:hAnsi="Arial" w:cs="Arial"/>
                <w:bCs/>
              </w:rPr>
              <w:t>Land Grabbing</w:t>
            </w:r>
            <w:r>
              <w:rPr>
                <w:rFonts w:ascii="Arial" w:hAnsi="Arial" w:cs="Arial"/>
                <w:bCs/>
              </w:rPr>
              <w:t>’</w:t>
            </w:r>
            <w:r w:rsidRPr="00EE44DD">
              <w:rPr>
                <w:rFonts w:ascii="Arial" w:hAnsi="Arial" w:cs="Arial"/>
                <w:bCs/>
              </w:rPr>
              <w:t xml:space="preserve"> (Lecture by Marianne Wiben Jensen)</w:t>
            </w:r>
            <w:r>
              <w:rPr>
                <w:rFonts w:ascii="Arial" w:hAnsi="Arial" w:cs="Arial"/>
                <w:bCs/>
              </w:rPr>
              <w:t xml:space="preserve">. Available at: </w:t>
            </w:r>
            <w:hyperlink r:id="rId8" w:history="1">
              <w:r w:rsidRPr="00C46C9C">
                <w:rPr>
                  <w:rStyle w:val="Hyperlink"/>
                  <w:rFonts w:ascii="Arial" w:hAnsi="Arial" w:cs="Arial"/>
                  <w:bCs/>
                </w:rPr>
                <w:t>https://www.youtube.com/watch?v=dq8XfvG_HpY&amp;feature=emb_logo&amp;ab_channel=ThinkRights</w:t>
              </w:r>
            </w:hyperlink>
            <w:r>
              <w:rPr>
                <w:rFonts w:ascii="Arial" w:hAnsi="Arial" w:cs="Arial"/>
                <w:bCs/>
              </w:rPr>
              <w:t xml:space="preserve"> </w:t>
            </w:r>
          </w:p>
        </w:tc>
      </w:tr>
      <w:tr w:rsidR="001C5907" w14:paraId="3C0347FC" w14:textId="77777777" w:rsidTr="00857C5E">
        <w:tc>
          <w:tcPr>
            <w:tcW w:w="9493" w:type="dxa"/>
          </w:tcPr>
          <w:p w14:paraId="3AC894DA" w14:textId="7D2B1E41" w:rsidR="001C5907" w:rsidRDefault="00EE44DD" w:rsidP="00857C5E">
            <w:pPr>
              <w:keepNext/>
              <w:keepLines/>
              <w:spacing w:before="120" w:after="120"/>
              <w:rPr>
                <w:rFonts w:ascii="Arial" w:hAnsi="Arial" w:cs="Arial"/>
                <w:bCs/>
              </w:rPr>
            </w:pPr>
            <w:r w:rsidRPr="00EE44DD">
              <w:rPr>
                <w:rFonts w:ascii="Arial" w:hAnsi="Arial" w:cs="Arial"/>
                <w:bCs/>
              </w:rPr>
              <w:t>International Work Group for Indigenous Affairs</w:t>
            </w:r>
            <w:r>
              <w:rPr>
                <w:rFonts w:ascii="Arial" w:hAnsi="Arial" w:cs="Arial"/>
                <w:bCs/>
              </w:rPr>
              <w:t xml:space="preserve">, ‘Land’: </w:t>
            </w:r>
            <w:hyperlink r:id="rId9" w:history="1">
              <w:r w:rsidRPr="00C46C9C">
                <w:rPr>
                  <w:rStyle w:val="Hyperlink"/>
                  <w:rFonts w:ascii="Arial" w:hAnsi="Arial" w:cs="Arial"/>
                  <w:bCs/>
                </w:rPr>
                <w:t>https://www.iwgia.org/en/focus/land-rights.html</w:t>
              </w:r>
            </w:hyperlink>
            <w:r>
              <w:rPr>
                <w:rFonts w:ascii="Arial" w:hAnsi="Arial" w:cs="Arial"/>
                <w:bCs/>
              </w:rPr>
              <w:t xml:space="preserve"> </w:t>
            </w:r>
          </w:p>
        </w:tc>
      </w:tr>
      <w:tr w:rsidR="00EE44DD" w14:paraId="33FF71F2" w14:textId="77777777" w:rsidTr="00857C5E">
        <w:tc>
          <w:tcPr>
            <w:tcW w:w="9493" w:type="dxa"/>
          </w:tcPr>
          <w:p w14:paraId="4B5C6E47" w14:textId="215A9D75" w:rsidR="00EE44DD" w:rsidRPr="00EE44DD" w:rsidRDefault="00EE44DD" w:rsidP="00857C5E">
            <w:pPr>
              <w:keepNext/>
              <w:keepLines/>
              <w:spacing w:before="120" w:after="120"/>
              <w:rPr>
                <w:rFonts w:ascii="Arial" w:hAnsi="Arial" w:cs="Arial"/>
                <w:bCs/>
              </w:rPr>
            </w:pPr>
            <w:r w:rsidRPr="00EE44DD">
              <w:rPr>
                <w:rFonts w:ascii="Arial" w:hAnsi="Arial" w:cs="Arial"/>
                <w:bCs/>
              </w:rPr>
              <w:t xml:space="preserve">Ojong N. </w:t>
            </w:r>
            <w:r>
              <w:rPr>
                <w:rFonts w:ascii="Arial" w:hAnsi="Arial" w:cs="Arial"/>
                <w:bCs/>
              </w:rPr>
              <w:t>“</w:t>
            </w:r>
            <w:r w:rsidRPr="00EE44DD">
              <w:rPr>
                <w:rFonts w:ascii="Arial" w:hAnsi="Arial" w:cs="Arial"/>
                <w:bCs/>
              </w:rPr>
              <w:t>Indigenous land rights: where are we today and where should the research go in the future?</w:t>
            </w:r>
            <w:r>
              <w:rPr>
                <w:rFonts w:ascii="Arial" w:hAnsi="Arial" w:cs="Arial"/>
                <w:bCs/>
              </w:rPr>
              <w:t>”</w:t>
            </w:r>
            <w:r w:rsidRPr="00EE44DD">
              <w:rPr>
                <w:rFonts w:ascii="Arial" w:hAnsi="Arial" w:cs="Arial"/>
                <w:bCs/>
              </w:rPr>
              <w:t xml:space="preserve"> </w:t>
            </w:r>
            <w:r w:rsidRPr="00EE44DD">
              <w:rPr>
                <w:rFonts w:ascii="Arial" w:hAnsi="Arial" w:cs="Arial"/>
                <w:bCs/>
                <w:i/>
                <w:iCs/>
              </w:rPr>
              <w:t>Settler Colonial Studies</w:t>
            </w:r>
            <w:r w:rsidRPr="00EE44DD">
              <w:rPr>
                <w:rFonts w:ascii="Arial" w:hAnsi="Arial" w:cs="Arial"/>
                <w:bCs/>
              </w:rPr>
              <w:t xml:space="preserve">. 2020;10(2):193-215. </w:t>
            </w:r>
          </w:p>
        </w:tc>
      </w:tr>
      <w:tr w:rsidR="00EE44DD" w14:paraId="7FF53625" w14:textId="77777777" w:rsidTr="00857C5E">
        <w:tc>
          <w:tcPr>
            <w:tcW w:w="9493" w:type="dxa"/>
          </w:tcPr>
          <w:p w14:paraId="00741278" w14:textId="01DDB241" w:rsidR="00EE44DD" w:rsidRPr="00EE44DD" w:rsidRDefault="00EE44DD" w:rsidP="00857C5E">
            <w:pPr>
              <w:keepNext/>
              <w:keepLines/>
              <w:spacing w:before="120" w:after="120"/>
              <w:rPr>
                <w:rFonts w:ascii="Arial" w:hAnsi="Arial" w:cs="Arial"/>
                <w:bCs/>
              </w:rPr>
            </w:pPr>
            <w:r w:rsidRPr="00EE44DD">
              <w:rPr>
                <w:rFonts w:ascii="Arial" w:hAnsi="Arial" w:cs="Arial"/>
                <w:bCs/>
              </w:rPr>
              <w:t xml:space="preserve">Fuentes A. </w:t>
            </w:r>
            <w:r>
              <w:rPr>
                <w:rFonts w:ascii="Arial" w:hAnsi="Arial" w:cs="Arial"/>
                <w:bCs/>
              </w:rPr>
              <w:t>“</w:t>
            </w:r>
            <w:r w:rsidRPr="00EE44DD">
              <w:rPr>
                <w:rFonts w:ascii="Arial" w:hAnsi="Arial" w:cs="Arial"/>
                <w:bCs/>
              </w:rPr>
              <w:t>Judicial Interpretation and Indigenous Peoples’ Rights to Lands, Participation and Consultation. The Inter-American Court of Human Rights’ Approach.</w:t>
            </w:r>
            <w:r>
              <w:rPr>
                <w:rFonts w:ascii="Arial" w:hAnsi="Arial" w:cs="Arial"/>
                <w:bCs/>
              </w:rPr>
              <w:t xml:space="preserve">” </w:t>
            </w:r>
            <w:r w:rsidRPr="00EE44DD">
              <w:rPr>
                <w:rFonts w:ascii="Arial" w:hAnsi="Arial" w:cs="Arial"/>
                <w:bCs/>
                <w:i/>
                <w:iCs/>
              </w:rPr>
              <w:t>International Journal on Minority &amp; Group Rights</w:t>
            </w:r>
            <w:r w:rsidRPr="00EE44DD">
              <w:rPr>
                <w:rFonts w:ascii="Arial" w:hAnsi="Arial" w:cs="Arial"/>
                <w:bCs/>
              </w:rPr>
              <w:t>. 2016;23(1):39-79.</w:t>
            </w:r>
          </w:p>
        </w:tc>
      </w:tr>
      <w:tr w:rsidR="00996A45" w14:paraId="131BBBDC" w14:textId="77777777" w:rsidTr="00857C5E">
        <w:tc>
          <w:tcPr>
            <w:tcW w:w="9493" w:type="dxa"/>
          </w:tcPr>
          <w:p w14:paraId="0EE21A68" w14:textId="50B31D6B" w:rsidR="00996A45" w:rsidRPr="00EE44DD" w:rsidRDefault="00996A45" w:rsidP="00996A45">
            <w:pPr>
              <w:keepNext/>
              <w:keepLines/>
              <w:spacing w:before="120" w:after="120"/>
              <w:rPr>
                <w:rFonts w:ascii="Arial" w:hAnsi="Arial" w:cs="Arial"/>
                <w:bCs/>
              </w:rPr>
            </w:pPr>
            <w:r w:rsidRPr="00996A45">
              <w:rPr>
                <w:rFonts w:ascii="Arial" w:hAnsi="Arial" w:cs="Arial"/>
                <w:bCs/>
              </w:rPr>
              <w:t>Birgitte Feiring</w:t>
            </w:r>
            <w:r>
              <w:rPr>
                <w:rFonts w:ascii="Arial" w:hAnsi="Arial" w:cs="Arial"/>
                <w:bCs/>
              </w:rPr>
              <w:t xml:space="preserve">, </w:t>
            </w:r>
            <w:r w:rsidRPr="00996A45">
              <w:rPr>
                <w:rFonts w:ascii="Arial" w:hAnsi="Arial" w:cs="Arial"/>
                <w:bCs/>
              </w:rPr>
              <w:t>Indigenous peoples’ rights to lands, territories, and resources</w:t>
            </w:r>
            <w:r w:rsidRPr="00996A45">
              <w:rPr>
                <w:rFonts w:ascii="Arial" w:hAnsi="Arial" w:cs="Arial"/>
                <w:bCs/>
                <w:i/>
                <w:iCs/>
              </w:rPr>
              <w:t>. International Land Coalition</w:t>
            </w:r>
            <w:r>
              <w:rPr>
                <w:rFonts w:ascii="Arial" w:hAnsi="Arial" w:cs="Arial"/>
                <w:bCs/>
              </w:rPr>
              <w:t xml:space="preserve">, 2013. </w:t>
            </w:r>
          </w:p>
        </w:tc>
      </w:tr>
    </w:tbl>
    <w:p w14:paraId="64ED71C0" w14:textId="2C1EC8D8" w:rsidR="001C5907" w:rsidRDefault="001C5907" w:rsidP="001C5907">
      <w:pPr>
        <w:keepNext/>
        <w:keepLines/>
        <w:spacing w:before="120" w:after="120" w:line="240" w:lineRule="auto"/>
        <w:rPr>
          <w:rFonts w:ascii="Arial" w:hAnsi="Arial" w:cs="Arial"/>
          <w:bCs/>
        </w:rPr>
      </w:pPr>
    </w:p>
    <w:p w14:paraId="340BE122" w14:textId="11A36C81" w:rsidR="001C5907" w:rsidRDefault="001C5907">
      <w:pPr>
        <w:rPr>
          <w:rFonts w:ascii="Arial" w:hAnsi="Arial" w:cs="Arial"/>
          <w:bCs/>
        </w:rPr>
      </w:pPr>
    </w:p>
    <w:sectPr w:rsidR="001C5907" w:rsidSect="00996A45">
      <w:headerReference w:type="default" r:id="rId10"/>
      <w:headerReference w:type="first" r:id="rId11"/>
      <w:pgSz w:w="11906" w:h="16838" w:code="9"/>
      <w:pgMar w:top="1276" w:right="1247" w:bottom="284" w:left="1247" w:header="227"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C5104" w14:textId="77777777" w:rsidR="00284315" w:rsidRDefault="00284315" w:rsidP="005F1270">
      <w:pPr>
        <w:spacing w:after="0" w:line="240" w:lineRule="auto"/>
      </w:pPr>
      <w:r>
        <w:separator/>
      </w:r>
    </w:p>
  </w:endnote>
  <w:endnote w:type="continuationSeparator" w:id="0">
    <w:p w14:paraId="194B7974" w14:textId="77777777" w:rsidR="00284315" w:rsidRDefault="00284315" w:rsidP="005F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erif">
    <w:altName w:val="Times New Roman"/>
    <w:charset w:val="BA"/>
    <w:family w:val="roman"/>
    <w:pitch w:val="default"/>
    <w:sig w:usb0="00000000" w:usb1="00000000" w:usb2="00000028" w:usb3="00000000" w:csb0="0000009F" w:csb1="00000000"/>
  </w:font>
  <w:font w:name="Tahoma">
    <w:panose1 w:val="020B0604030504040204"/>
    <w:charset w:val="00"/>
    <w:family w:val="swiss"/>
    <w:pitch w:val="variable"/>
    <w:sig w:usb0="E1002EFF" w:usb1="C000605B" w:usb2="00000029" w:usb3="00000000" w:csb0="000101FF" w:csb1="00000000"/>
  </w:font>
  <w:font w:name="Droid Sans">
    <w:altName w:val="Droid Sans"/>
    <w:panose1 w:val="020B06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673FD" w14:textId="77777777" w:rsidR="00284315" w:rsidRDefault="00284315" w:rsidP="005F1270">
      <w:pPr>
        <w:spacing w:after="0" w:line="240" w:lineRule="auto"/>
      </w:pPr>
      <w:r>
        <w:separator/>
      </w:r>
    </w:p>
  </w:footnote>
  <w:footnote w:type="continuationSeparator" w:id="0">
    <w:p w14:paraId="563A50D0" w14:textId="77777777" w:rsidR="00284315" w:rsidRDefault="00284315" w:rsidP="005F1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9C232" w14:textId="77777777" w:rsidR="005F1270" w:rsidRDefault="005F1270" w:rsidP="000E6385">
    <w:pPr>
      <w:pStyle w:val="RGSL"/>
    </w:pPr>
  </w:p>
  <w:p w14:paraId="787BF54B" w14:textId="77777777" w:rsidR="00F65CF4" w:rsidRDefault="00F65CF4" w:rsidP="000E6385">
    <w:pPr>
      <w:pStyle w:val="RGS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BEFA" w14:textId="1553D861" w:rsidR="00330F58" w:rsidRDefault="00330F58">
    <w:pPr>
      <w:pStyle w:val="Header"/>
    </w:pPr>
  </w:p>
  <w:p w14:paraId="7D7360C5" w14:textId="4CA0CBB7" w:rsidR="00F65CF4" w:rsidRDefault="001C5907">
    <w:pPr>
      <w:pStyle w:val="Header"/>
    </w:pPr>
    <w:r w:rsidRPr="00AA0CDB">
      <w:rPr>
        <w:noProof/>
        <w:highlight w:val="yellow"/>
        <w:lang w:eastAsia="lv-LV"/>
      </w:rPr>
      <w:drawing>
        <wp:anchor distT="0" distB="0" distL="114300" distR="114300" simplePos="0" relativeHeight="251660288" behindDoc="0" locked="0" layoutInCell="1" allowOverlap="1" wp14:anchorId="583AF3ED" wp14:editId="02ABA6BF">
          <wp:simplePos x="0" y="0"/>
          <wp:positionH relativeFrom="margin">
            <wp:posOffset>1363345</wp:posOffset>
          </wp:positionH>
          <wp:positionV relativeFrom="margin">
            <wp:posOffset>-191468</wp:posOffset>
          </wp:positionV>
          <wp:extent cx="1612265" cy="459740"/>
          <wp:effectExtent l="0" t="0" r="0" b="0"/>
          <wp:wrapSquare wrapText="bothSides"/>
          <wp:docPr id="7" name="Picture 2" descr="Image result for 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erasmu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2265" cy="459740"/>
                  </a:xfrm>
                  <a:prstGeom prst="rect">
                    <a:avLst/>
                  </a:prstGeom>
                  <a:noFill/>
                </pic:spPr>
              </pic:pic>
            </a:graphicData>
          </a:graphic>
          <wp14:sizeRelH relativeFrom="margin">
            <wp14:pctWidth>0</wp14:pctWidth>
          </wp14:sizeRelH>
          <wp14:sizeRelV relativeFrom="margin">
            <wp14:pctHeight>0</wp14:pctHeight>
          </wp14:sizeRelV>
        </wp:anchor>
      </w:drawing>
    </w:r>
    <w:r w:rsidR="00AA0CDB" w:rsidRPr="00AA0CDB">
      <w:rPr>
        <w:noProof/>
        <w:color w:val="B51C2A"/>
        <w:highlight w:val="yellow"/>
        <w:lang w:eastAsia="lv-LV"/>
      </w:rPr>
      <w:drawing>
        <wp:anchor distT="0" distB="0" distL="114300" distR="114300" simplePos="0" relativeHeight="251659264" behindDoc="0" locked="0" layoutInCell="1" allowOverlap="1" wp14:anchorId="432092C6" wp14:editId="53AB80C8">
          <wp:simplePos x="0" y="0"/>
          <wp:positionH relativeFrom="margin">
            <wp:posOffset>-79022</wp:posOffset>
          </wp:positionH>
          <wp:positionV relativeFrom="topMargin">
            <wp:posOffset>530367</wp:posOffset>
          </wp:positionV>
          <wp:extent cx="1272317" cy="485422"/>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72317" cy="4854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538CD"/>
    <w:multiLevelType w:val="hybridMultilevel"/>
    <w:tmpl w:val="A3A6AA1A"/>
    <w:lvl w:ilvl="0" w:tplc="D2C0CD1E">
      <w:numFmt w:val="bullet"/>
      <w:lvlText w:val="-"/>
      <w:lvlJc w:val="left"/>
      <w:pPr>
        <w:ind w:left="720" w:hanging="360"/>
      </w:pPr>
      <w:rPr>
        <w:rFonts w:ascii="Calibri" w:eastAsiaTheme="minorEastAsia"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535773E"/>
    <w:multiLevelType w:val="hybridMultilevel"/>
    <w:tmpl w:val="A5C64AF8"/>
    <w:lvl w:ilvl="0" w:tplc="0B04E8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650FC"/>
    <w:multiLevelType w:val="hybridMultilevel"/>
    <w:tmpl w:val="BD92FAA0"/>
    <w:lvl w:ilvl="0" w:tplc="0B04E84E">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5F36FA"/>
    <w:multiLevelType w:val="hybridMultilevel"/>
    <w:tmpl w:val="F8A20FA4"/>
    <w:lvl w:ilvl="0" w:tplc="7FA6762C">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DBA58D2"/>
    <w:multiLevelType w:val="hybridMultilevel"/>
    <w:tmpl w:val="50CC1B50"/>
    <w:lvl w:ilvl="0" w:tplc="6A800B9A">
      <w:start w:val="5"/>
      <w:numFmt w:val="bullet"/>
      <w:lvlText w:val="-"/>
      <w:lvlJc w:val="left"/>
      <w:pPr>
        <w:ind w:left="405" w:hanging="360"/>
      </w:pPr>
      <w:rPr>
        <w:rFonts w:ascii="Calibri" w:eastAsia="Calibri" w:hAnsi="Calibri" w:cs="Calibri"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15:restartNumberingAfterBreak="0">
    <w:nsid w:val="4FFD5333"/>
    <w:multiLevelType w:val="hybridMultilevel"/>
    <w:tmpl w:val="41A0EA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1C97A5D"/>
    <w:multiLevelType w:val="hybridMultilevel"/>
    <w:tmpl w:val="4A48F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130B16"/>
    <w:multiLevelType w:val="hybridMultilevel"/>
    <w:tmpl w:val="EED0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43761"/>
    <w:multiLevelType w:val="hybridMultilevel"/>
    <w:tmpl w:val="9140D0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5"/>
  </w:num>
  <w:num w:numId="6">
    <w:abstractNumId w:val="3"/>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0NDU1tbQwNTQ0M7NU0lEKTi0uzszPAykwrQUAY82B8ywAAAA="/>
  </w:docVars>
  <w:rsids>
    <w:rsidRoot w:val="00C65BEC"/>
    <w:rsid w:val="00010C3E"/>
    <w:rsid w:val="00025D75"/>
    <w:rsid w:val="00043113"/>
    <w:rsid w:val="0004615D"/>
    <w:rsid w:val="00050CBB"/>
    <w:rsid w:val="00053058"/>
    <w:rsid w:val="00056770"/>
    <w:rsid w:val="000D4DB0"/>
    <w:rsid w:val="000E6385"/>
    <w:rsid w:val="000E7B31"/>
    <w:rsid w:val="00117477"/>
    <w:rsid w:val="00160056"/>
    <w:rsid w:val="00184379"/>
    <w:rsid w:val="001B7F2C"/>
    <w:rsid w:val="001C5907"/>
    <w:rsid w:val="001E360A"/>
    <w:rsid w:val="001F1FE0"/>
    <w:rsid w:val="00213738"/>
    <w:rsid w:val="00220EAC"/>
    <w:rsid w:val="0025374B"/>
    <w:rsid w:val="0025594D"/>
    <w:rsid w:val="00284315"/>
    <w:rsid w:val="00295609"/>
    <w:rsid w:val="002C33E8"/>
    <w:rsid w:val="002E7500"/>
    <w:rsid w:val="003246F8"/>
    <w:rsid w:val="00330F58"/>
    <w:rsid w:val="00355270"/>
    <w:rsid w:val="00387A5F"/>
    <w:rsid w:val="003B1AE5"/>
    <w:rsid w:val="0044548F"/>
    <w:rsid w:val="00464DC6"/>
    <w:rsid w:val="004A075C"/>
    <w:rsid w:val="004A6363"/>
    <w:rsid w:val="004C06DF"/>
    <w:rsid w:val="004D0E26"/>
    <w:rsid w:val="00511454"/>
    <w:rsid w:val="005312A8"/>
    <w:rsid w:val="00531F7E"/>
    <w:rsid w:val="005750FF"/>
    <w:rsid w:val="005D6F37"/>
    <w:rsid w:val="005D75F5"/>
    <w:rsid w:val="005F1270"/>
    <w:rsid w:val="005F19E6"/>
    <w:rsid w:val="00624458"/>
    <w:rsid w:val="006C5FA5"/>
    <w:rsid w:val="006D7F4D"/>
    <w:rsid w:val="0070686D"/>
    <w:rsid w:val="007301E6"/>
    <w:rsid w:val="00741603"/>
    <w:rsid w:val="00791A99"/>
    <w:rsid w:val="007B0482"/>
    <w:rsid w:val="008117D4"/>
    <w:rsid w:val="00847B9F"/>
    <w:rsid w:val="008C7F85"/>
    <w:rsid w:val="008E03FA"/>
    <w:rsid w:val="00925D11"/>
    <w:rsid w:val="00933868"/>
    <w:rsid w:val="009402C6"/>
    <w:rsid w:val="009604D5"/>
    <w:rsid w:val="00981234"/>
    <w:rsid w:val="00994C9E"/>
    <w:rsid w:val="00996A45"/>
    <w:rsid w:val="009C7CF1"/>
    <w:rsid w:val="009F3D6C"/>
    <w:rsid w:val="009F6046"/>
    <w:rsid w:val="00A1633E"/>
    <w:rsid w:val="00A268DA"/>
    <w:rsid w:val="00A373AD"/>
    <w:rsid w:val="00A40796"/>
    <w:rsid w:val="00A548AB"/>
    <w:rsid w:val="00A56B96"/>
    <w:rsid w:val="00A665AA"/>
    <w:rsid w:val="00A67431"/>
    <w:rsid w:val="00A85C1A"/>
    <w:rsid w:val="00A9320A"/>
    <w:rsid w:val="00AA0CDB"/>
    <w:rsid w:val="00B02604"/>
    <w:rsid w:val="00B2413F"/>
    <w:rsid w:val="00B6480C"/>
    <w:rsid w:val="00B95A1D"/>
    <w:rsid w:val="00B97EEC"/>
    <w:rsid w:val="00BA47E7"/>
    <w:rsid w:val="00BB4A23"/>
    <w:rsid w:val="00BC7D03"/>
    <w:rsid w:val="00BE00D5"/>
    <w:rsid w:val="00BE373D"/>
    <w:rsid w:val="00C05D27"/>
    <w:rsid w:val="00C12D6B"/>
    <w:rsid w:val="00C401A7"/>
    <w:rsid w:val="00C47182"/>
    <w:rsid w:val="00C5277D"/>
    <w:rsid w:val="00C628BE"/>
    <w:rsid w:val="00C65BEC"/>
    <w:rsid w:val="00C76E65"/>
    <w:rsid w:val="00C91DB9"/>
    <w:rsid w:val="00C9790C"/>
    <w:rsid w:val="00CA6276"/>
    <w:rsid w:val="00CB0056"/>
    <w:rsid w:val="00CF6DB0"/>
    <w:rsid w:val="00D07498"/>
    <w:rsid w:val="00D25887"/>
    <w:rsid w:val="00D40097"/>
    <w:rsid w:val="00D40DC9"/>
    <w:rsid w:val="00D52A21"/>
    <w:rsid w:val="00D96CE1"/>
    <w:rsid w:val="00DA6696"/>
    <w:rsid w:val="00DB7703"/>
    <w:rsid w:val="00DD6B5C"/>
    <w:rsid w:val="00DD7937"/>
    <w:rsid w:val="00DE6739"/>
    <w:rsid w:val="00DF0047"/>
    <w:rsid w:val="00DF6D3C"/>
    <w:rsid w:val="00E00C4F"/>
    <w:rsid w:val="00E25397"/>
    <w:rsid w:val="00E26F04"/>
    <w:rsid w:val="00E31867"/>
    <w:rsid w:val="00E463A7"/>
    <w:rsid w:val="00E47304"/>
    <w:rsid w:val="00E81306"/>
    <w:rsid w:val="00E83726"/>
    <w:rsid w:val="00E97746"/>
    <w:rsid w:val="00EB07F3"/>
    <w:rsid w:val="00EC0E2C"/>
    <w:rsid w:val="00EE100B"/>
    <w:rsid w:val="00EE44DD"/>
    <w:rsid w:val="00EE47C9"/>
    <w:rsid w:val="00F25456"/>
    <w:rsid w:val="00F4262E"/>
    <w:rsid w:val="00F61FD6"/>
    <w:rsid w:val="00F65CF4"/>
    <w:rsid w:val="00F825AB"/>
    <w:rsid w:val="00FA08C9"/>
    <w:rsid w:val="00FB0247"/>
    <w:rsid w:val="00FB33CA"/>
    <w:rsid w:val="00FB5E10"/>
    <w:rsid w:val="00FC05D6"/>
    <w:rsid w:val="00FD7FC7"/>
  </w:rsids>
  <m:mathPr>
    <m:mathFont m:val="Cambria Math"/>
    <m:brkBin m:val="before"/>
    <m:brkBinSub m:val="--"/>
    <m:smallFrac m:val="0"/>
    <m:dispDef/>
    <m:lMargin m:val="0"/>
    <m:rMargin m:val="0"/>
    <m:defJc m:val="centerGroup"/>
    <m:wrapIndent m:val="1440"/>
    <m:intLim m:val="subSup"/>
    <m:naryLim m:val="undOvr"/>
  </m:mathPr>
  <w:themeFontLang w:val="lv-LV"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5256B"/>
  <w15:docId w15:val="{B56A36C8-BA60-412A-9D91-6F0D482F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SL">
    <w:name w:val="RGSL"/>
    <w:basedOn w:val="Normal"/>
    <w:link w:val="RGSLChar"/>
    <w:qFormat/>
    <w:rsid w:val="00A1633E"/>
    <w:rPr>
      <w:rFonts w:ascii="Droid Serif" w:hAnsi="Droid Serif"/>
      <w:sz w:val="20"/>
    </w:rPr>
  </w:style>
  <w:style w:type="character" w:customStyle="1" w:styleId="RGSLChar">
    <w:name w:val="RGSL Char"/>
    <w:basedOn w:val="DefaultParagraphFont"/>
    <w:link w:val="RGSL"/>
    <w:rsid w:val="00A1633E"/>
    <w:rPr>
      <w:rFonts w:ascii="Droid Serif" w:hAnsi="Droid Serif"/>
      <w:sz w:val="20"/>
    </w:rPr>
  </w:style>
  <w:style w:type="paragraph" w:styleId="Header">
    <w:name w:val="header"/>
    <w:basedOn w:val="Normal"/>
    <w:link w:val="HeaderChar"/>
    <w:uiPriority w:val="99"/>
    <w:unhideWhenUsed/>
    <w:rsid w:val="005F12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1270"/>
  </w:style>
  <w:style w:type="paragraph" w:styleId="Footer">
    <w:name w:val="footer"/>
    <w:basedOn w:val="Normal"/>
    <w:link w:val="FooterChar"/>
    <w:uiPriority w:val="99"/>
    <w:unhideWhenUsed/>
    <w:rsid w:val="005F12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1270"/>
  </w:style>
  <w:style w:type="table" w:styleId="TableGrid">
    <w:name w:val="Table Grid"/>
    <w:basedOn w:val="TableNormal"/>
    <w:uiPriority w:val="59"/>
    <w:rsid w:val="005F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F58"/>
    <w:rPr>
      <w:rFonts w:ascii="Tahoma" w:hAnsi="Tahoma" w:cs="Tahoma"/>
      <w:sz w:val="16"/>
      <w:szCs w:val="16"/>
    </w:rPr>
  </w:style>
  <w:style w:type="paragraph" w:styleId="ListParagraph">
    <w:name w:val="List Paragraph"/>
    <w:basedOn w:val="Normal"/>
    <w:uiPriority w:val="34"/>
    <w:qFormat/>
    <w:rsid w:val="006C5FA5"/>
    <w:pPr>
      <w:spacing w:after="200" w:line="276" w:lineRule="auto"/>
      <w:ind w:left="720"/>
      <w:contextualSpacing/>
    </w:pPr>
    <w:rPr>
      <w:rFonts w:eastAsiaTheme="minorEastAsia"/>
      <w:lang w:eastAsia="zh-TW"/>
    </w:rPr>
  </w:style>
  <w:style w:type="character" w:styleId="Hyperlink">
    <w:name w:val="Hyperlink"/>
    <w:basedOn w:val="DefaultParagraphFont"/>
    <w:uiPriority w:val="99"/>
    <w:unhideWhenUsed/>
    <w:qFormat/>
    <w:rsid w:val="00C05D27"/>
    <w:rPr>
      <w:color w:val="0000FF"/>
      <w:u w:val="single"/>
    </w:rPr>
  </w:style>
  <w:style w:type="character" w:styleId="FollowedHyperlink">
    <w:name w:val="FollowedHyperlink"/>
    <w:basedOn w:val="DefaultParagraphFont"/>
    <w:uiPriority w:val="99"/>
    <w:semiHidden/>
    <w:unhideWhenUsed/>
    <w:rsid w:val="00E25397"/>
    <w:rPr>
      <w:color w:val="954F72" w:themeColor="followedHyperlink"/>
      <w:u w:val="single"/>
    </w:rPr>
  </w:style>
  <w:style w:type="paragraph" w:customStyle="1" w:styleId="Default">
    <w:name w:val="Default"/>
    <w:rsid w:val="007B0482"/>
    <w:pPr>
      <w:autoSpaceDE w:val="0"/>
      <w:autoSpaceDN w:val="0"/>
      <w:adjustRightInd w:val="0"/>
      <w:spacing w:after="0" w:line="240" w:lineRule="auto"/>
    </w:pPr>
    <w:rPr>
      <w:rFonts w:ascii="Droid Sans" w:hAnsi="Droid Sans" w:cs="Droid Sans"/>
      <w:color w:val="000000"/>
      <w:sz w:val="24"/>
      <w:szCs w:val="24"/>
      <w:lang w:val="en-GB"/>
    </w:rPr>
  </w:style>
  <w:style w:type="character" w:styleId="UnresolvedMention">
    <w:name w:val="Unresolved Mention"/>
    <w:basedOn w:val="DefaultParagraphFont"/>
    <w:uiPriority w:val="99"/>
    <w:semiHidden/>
    <w:unhideWhenUsed/>
    <w:rsid w:val="00EE4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888970">
      <w:bodyDiv w:val="1"/>
      <w:marLeft w:val="0"/>
      <w:marRight w:val="0"/>
      <w:marTop w:val="0"/>
      <w:marBottom w:val="0"/>
      <w:divBdr>
        <w:top w:val="none" w:sz="0" w:space="0" w:color="auto"/>
        <w:left w:val="none" w:sz="0" w:space="0" w:color="auto"/>
        <w:bottom w:val="none" w:sz="0" w:space="0" w:color="auto"/>
        <w:right w:val="none" w:sz="0" w:space="0" w:color="auto"/>
      </w:divBdr>
    </w:div>
    <w:div w:id="205419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q8XfvG_HpY&amp;feature=emb_logo&amp;ab_channel=ThinkRigh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wgia.org/en/focus/land-rights.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na.muraskina\AppData\Local\Microsoft\Windows\Temporary%20Internet%20Files\Content.Outlook\BIU2XI2R\RGSL_veidlapa_LV%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85D0-3D92-4D14-8F19-1F7C3E07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RGSL_veidlapa_LV (3)</Template>
  <TotalTime>1060</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liena.muraskina</dc:creator>
  <cp:lastModifiedBy>User</cp:lastModifiedBy>
  <cp:revision>32</cp:revision>
  <cp:lastPrinted>2019-10-03T12:20:00Z</cp:lastPrinted>
  <dcterms:created xsi:type="dcterms:W3CDTF">2019-10-03T13:41:00Z</dcterms:created>
  <dcterms:modified xsi:type="dcterms:W3CDTF">2021-01-04T11:48:00Z</dcterms:modified>
</cp:coreProperties>
</file>