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039C3" w14:textId="77777777" w:rsidR="001C5907" w:rsidRDefault="001C5907" w:rsidP="00E463A7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2EABA431" w14:textId="77777777" w:rsidR="001C5907" w:rsidRDefault="001C5907" w:rsidP="00E463A7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5061C996" w14:textId="5334E114" w:rsidR="009F3D6C" w:rsidRDefault="005F19E6" w:rsidP="00E463A7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COURSE</w:t>
      </w:r>
      <w:r w:rsidR="005D75F5" w:rsidRPr="00A40796">
        <w:rPr>
          <w:rFonts w:ascii="Arial" w:hAnsi="Arial" w:cs="Arial"/>
          <w:b/>
        </w:rPr>
        <w:t xml:space="preserve"> </w:t>
      </w:r>
      <w:r w:rsidR="009F3D6C">
        <w:rPr>
          <w:rFonts w:ascii="Arial" w:hAnsi="Arial" w:cs="Arial"/>
          <w:b/>
        </w:rPr>
        <w:br/>
        <w:t>‘BUSINESS AND NATURAL RESOURCES RIGHTS’</w:t>
      </w:r>
    </w:p>
    <w:p w14:paraId="2F145161" w14:textId="77777777" w:rsidR="00B10881" w:rsidRDefault="00B10881" w:rsidP="001C5907">
      <w:pPr>
        <w:spacing w:before="120" w:after="120" w:line="240" w:lineRule="auto"/>
        <w:rPr>
          <w:rFonts w:ascii="Arial" w:hAnsi="Arial" w:cs="Arial"/>
          <w:b/>
        </w:rPr>
      </w:pPr>
    </w:p>
    <w:p w14:paraId="2FFE3F82" w14:textId="72DD4E5E" w:rsidR="001C5907" w:rsidRPr="00A40796" w:rsidRDefault="001C5907" w:rsidP="001C5907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SESSION 6</w:t>
      </w:r>
    </w:p>
    <w:p w14:paraId="47D73093" w14:textId="77777777" w:rsidR="001C5907" w:rsidRDefault="001C5907" w:rsidP="001C5907">
      <w:pPr>
        <w:rPr>
          <w:rFonts w:ascii="Arial" w:hAnsi="Arial" w:cs="Arial"/>
          <w:bCs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655"/>
      </w:tblGrid>
      <w:tr w:rsidR="001C5907" w:rsidRPr="00A40796" w14:paraId="196247A9" w14:textId="77777777" w:rsidTr="00857C5E">
        <w:trPr>
          <w:trHeight w:val="276"/>
        </w:trPr>
        <w:tc>
          <w:tcPr>
            <w:tcW w:w="1843" w:type="dxa"/>
            <w:shd w:val="clear" w:color="auto" w:fill="E6E6E6"/>
            <w:vAlign w:val="center"/>
          </w:tcPr>
          <w:p w14:paraId="256F42C8" w14:textId="77777777" w:rsidR="001C5907" w:rsidRPr="009F3D6C" w:rsidRDefault="001C5907" w:rsidP="00857C5E">
            <w:pPr>
              <w:spacing w:before="120" w:after="120" w:line="240" w:lineRule="auto"/>
              <w:ind w:right="-108"/>
              <w:rPr>
                <w:rFonts w:ascii="Arial" w:hAnsi="Arial" w:cs="Arial"/>
                <w:b/>
                <w:bCs/>
              </w:rPr>
            </w:pPr>
            <w:r w:rsidRPr="009F3D6C">
              <w:rPr>
                <w:rFonts w:ascii="Arial" w:hAnsi="Arial" w:cs="Arial"/>
                <w:b/>
                <w:bCs/>
              </w:rPr>
              <w:t>Session title</w:t>
            </w:r>
          </w:p>
        </w:tc>
        <w:tc>
          <w:tcPr>
            <w:tcW w:w="7655" w:type="dxa"/>
            <w:shd w:val="clear" w:color="auto" w:fill="E6E6E6"/>
            <w:vAlign w:val="center"/>
          </w:tcPr>
          <w:p w14:paraId="3861C228" w14:textId="3A4C2741" w:rsidR="001C5907" w:rsidRPr="001C5907" w:rsidRDefault="00D5303E" w:rsidP="0070686D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Case studies for in-class discussion</w:t>
            </w:r>
          </w:p>
        </w:tc>
      </w:tr>
      <w:tr w:rsidR="001C5907" w:rsidRPr="00A40796" w14:paraId="261F4276" w14:textId="77777777" w:rsidTr="00857C5E">
        <w:trPr>
          <w:trHeight w:val="257"/>
        </w:trPr>
        <w:tc>
          <w:tcPr>
            <w:tcW w:w="1843" w:type="dxa"/>
          </w:tcPr>
          <w:p w14:paraId="6A63CAAD" w14:textId="77777777" w:rsidR="001C5907" w:rsidRPr="00A40796" w:rsidRDefault="001C5907" w:rsidP="00857C5E">
            <w:pPr>
              <w:spacing w:before="120" w:after="120" w:line="240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the session</w:t>
            </w:r>
          </w:p>
        </w:tc>
        <w:tc>
          <w:tcPr>
            <w:tcW w:w="7655" w:type="dxa"/>
            <w:vAlign w:val="center"/>
          </w:tcPr>
          <w:p w14:paraId="1163361A" w14:textId="0A0562A5" w:rsidR="001C5907" w:rsidRPr="00A40796" w:rsidRDefault="00D5303E" w:rsidP="00857C5E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Seminar </w:t>
            </w:r>
          </w:p>
        </w:tc>
      </w:tr>
    </w:tbl>
    <w:p w14:paraId="1845797E" w14:textId="77777777" w:rsidR="001C5907" w:rsidRPr="00A40796" w:rsidRDefault="001C5907" w:rsidP="001C5907">
      <w:pPr>
        <w:spacing w:before="120" w:after="120" w:line="240" w:lineRule="auto"/>
        <w:rPr>
          <w:rFonts w:ascii="Arial" w:hAnsi="Arial" w:cs="Arial"/>
        </w:rPr>
      </w:pPr>
    </w:p>
    <w:p w14:paraId="481DED6F" w14:textId="1F35A690" w:rsidR="001C5907" w:rsidRDefault="001C5907" w:rsidP="00D5303E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SESSION</w:t>
      </w:r>
      <w:r w:rsidRPr="00A40796">
        <w:rPr>
          <w:rFonts w:ascii="Arial" w:hAnsi="Arial" w:cs="Arial"/>
          <w:b/>
        </w:rPr>
        <w:t xml:space="preserve"> ABSTRACT</w:t>
      </w:r>
    </w:p>
    <w:p w14:paraId="6843B5A1" w14:textId="061D2494" w:rsidR="00D5303E" w:rsidRDefault="00D5303E" w:rsidP="00914034">
      <w:pPr>
        <w:spacing w:before="120"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During the seminar, rea-life judicial practice will be discussed, to illustrate how the issues discussed previously are being solved in practice. </w:t>
      </w:r>
    </w:p>
    <w:p w14:paraId="2710ECA0" w14:textId="05901F45" w:rsidR="00D5303E" w:rsidRPr="00D5303E" w:rsidRDefault="00D5303E" w:rsidP="00D5303E">
      <w:pPr>
        <w:spacing w:before="120"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Students are expected to get acquainted with the cases and actively participate in discussion. </w:t>
      </w:r>
    </w:p>
    <w:p w14:paraId="3F2AA832" w14:textId="75BA760E" w:rsidR="001C5907" w:rsidRDefault="001C5907" w:rsidP="001C5907">
      <w:pPr>
        <w:keepNext/>
        <w:keepLines/>
        <w:spacing w:before="120" w:after="120" w:line="240" w:lineRule="auto"/>
        <w:rPr>
          <w:rFonts w:ascii="Arial" w:hAnsi="Arial" w:cs="Arial"/>
          <w:bCs/>
        </w:rPr>
      </w:pPr>
    </w:p>
    <w:p w14:paraId="0D4FF318" w14:textId="436A0167" w:rsidR="00F25732" w:rsidRPr="00F25732" w:rsidRDefault="00F25732" w:rsidP="00914034">
      <w:pPr>
        <w:keepNext/>
        <w:keepLines/>
        <w:spacing w:before="120" w:after="120" w:line="240" w:lineRule="auto"/>
        <w:jc w:val="both"/>
        <w:rPr>
          <w:rFonts w:ascii="Arial" w:hAnsi="Arial" w:cs="Arial"/>
          <w:bCs/>
          <w:i/>
          <w:iCs/>
        </w:rPr>
      </w:pPr>
      <w:r w:rsidRPr="00F25732">
        <w:rPr>
          <w:rFonts w:ascii="Arial" w:hAnsi="Arial" w:cs="Arial"/>
          <w:bCs/>
          <w:i/>
          <w:iCs/>
        </w:rPr>
        <w:t>NB: Please note that the slides only contain short summaries of the cases for guidance. Students are required to read the case</w:t>
      </w:r>
      <w:r>
        <w:rPr>
          <w:rFonts w:ascii="Arial" w:hAnsi="Arial" w:cs="Arial"/>
          <w:bCs/>
          <w:i/>
          <w:iCs/>
        </w:rPr>
        <w:t xml:space="preserve"> materials</w:t>
      </w:r>
      <w:r w:rsidRPr="00F25732">
        <w:rPr>
          <w:rFonts w:ascii="Arial" w:hAnsi="Arial" w:cs="Arial"/>
          <w:bCs/>
          <w:i/>
          <w:iCs/>
        </w:rPr>
        <w:t xml:space="preserve"> in full. The </w:t>
      </w:r>
      <w:r>
        <w:rPr>
          <w:rFonts w:ascii="Arial" w:hAnsi="Arial" w:cs="Arial"/>
          <w:bCs/>
          <w:i/>
          <w:iCs/>
        </w:rPr>
        <w:t>essence</w:t>
      </w:r>
      <w:r w:rsidRPr="00F25732">
        <w:rPr>
          <w:rFonts w:ascii="Arial" w:hAnsi="Arial" w:cs="Arial"/>
          <w:bCs/>
          <w:i/>
          <w:iCs/>
        </w:rPr>
        <w:t xml:space="preserve"> of the session lies in the interaction between the students and the lecturer.</w:t>
      </w:r>
    </w:p>
    <w:p w14:paraId="62835D14" w14:textId="77777777" w:rsidR="001C5907" w:rsidRPr="00D25887" w:rsidRDefault="001C5907" w:rsidP="001C5907">
      <w:pPr>
        <w:keepNext/>
        <w:keepLines/>
        <w:spacing w:before="120" w:after="120" w:line="240" w:lineRule="auto"/>
        <w:rPr>
          <w:rFonts w:ascii="Arial" w:hAnsi="Arial" w:cs="Arial"/>
          <w:b/>
        </w:rPr>
      </w:pPr>
    </w:p>
    <w:p w14:paraId="6496BD14" w14:textId="77777777" w:rsidR="001C5907" w:rsidRPr="00D25887" w:rsidRDefault="001C5907" w:rsidP="001C5907">
      <w:pPr>
        <w:keepNext/>
        <w:keepLines/>
        <w:spacing w:before="120" w:after="120" w:line="240" w:lineRule="auto"/>
        <w:rPr>
          <w:rFonts w:ascii="Arial" w:hAnsi="Arial" w:cs="Arial"/>
          <w:b/>
        </w:rPr>
      </w:pPr>
      <w:r w:rsidRPr="00D25887">
        <w:rPr>
          <w:rFonts w:ascii="Arial" w:hAnsi="Arial" w:cs="Arial"/>
          <w:b/>
        </w:rPr>
        <w:t>SESSION READINGS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1C5907" w14:paraId="11F1ABB7" w14:textId="77777777" w:rsidTr="00857C5E">
        <w:tc>
          <w:tcPr>
            <w:tcW w:w="9493" w:type="dxa"/>
            <w:shd w:val="clear" w:color="auto" w:fill="E7E6E6" w:themeFill="background2"/>
          </w:tcPr>
          <w:p w14:paraId="05E088ED" w14:textId="77777777" w:rsidR="001C5907" w:rsidRPr="009F3D6C" w:rsidRDefault="001C5907" w:rsidP="00857C5E">
            <w:pPr>
              <w:keepNext/>
              <w:keepLines/>
              <w:spacing w:before="120" w:after="120"/>
              <w:rPr>
                <w:rFonts w:ascii="Arial" w:hAnsi="Arial" w:cs="Arial"/>
                <w:b/>
              </w:rPr>
            </w:pPr>
            <w:r w:rsidRPr="009F3D6C">
              <w:rPr>
                <w:rFonts w:ascii="Arial" w:hAnsi="Arial" w:cs="Arial"/>
                <w:b/>
              </w:rPr>
              <w:t xml:space="preserve">Mandatory </w:t>
            </w:r>
          </w:p>
        </w:tc>
      </w:tr>
      <w:tr w:rsidR="001C5907" w14:paraId="05966095" w14:textId="77777777" w:rsidTr="00857C5E">
        <w:tc>
          <w:tcPr>
            <w:tcW w:w="9493" w:type="dxa"/>
          </w:tcPr>
          <w:p w14:paraId="71AB33B0" w14:textId="77777777" w:rsidR="001C5907" w:rsidRDefault="00F25732" w:rsidP="00857C5E">
            <w:pPr>
              <w:keepNext/>
              <w:keepLines/>
              <w:spacing w:before="120" w:after="120"/>
              <w:rPr>
                <w:rFonts w:ascii="Arial" w:hAnsi="Arial" w:cs="Arial"/>
                <w:bCs/>
              </w:rPr>
            </w:pPr>
            <w:r w:rsidRPr="00F25732">
              <w:rPr>
                <w:rFonts w:ascii="Arial" w:hAnsi="Arial" w:cs="Arial"/>
                <w:bCs/>
              </w:rPr>
              <w:t>Chevron Corporation and Texaco Petroleum Company v. The Republic of Ecuador (II) (PCA Case No. 2009-23)</w:t>
            </w:r>
            <w:r>
              <w:rPr>
                <w:rFonts w:ascii="Arial" w:hAnsi="Arial" w:cs="Arial"/>
                <w:bCs/>
              </w:rPr>
              <w:t>.</w:t>
            </w:r>
          </w:p>
          <w:p w14:paraId="7F55471F" w14:textId="73DF58BD" w:rsidR="00F25732" w:rsidRDefault="00F25732" w:rsidP="00857C5E">
            <w:pPr>
              <w:keepNext/>
              <w:keepLines/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Available at: </w:t>
            </w:r>
            <w:hyperlink r:id="rId8" w:history="1">
              <w:r w:rsidRPr="004426B6">
                <w:rPr>
                  <w:rStyle w:val="Hyperlink"/>
                  <w:rFonts w:ascii="Arial" w:hAnsi="Arial" w:cs="Arial"/>
                  <w:bCs/>
                </w:rPr>
                <w:t>https://investmentpolicy.unctad.org/investment-dispute-settlement/cases/341/chevron-and-texpet-v-ecuador-ii-</w:t>
              </w:r>
            </w:hyperlink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F25732" w14:paraId="3ACD4C3F" w14:textId="77777777" w:rsidTr="00857C5E">
        <w:tc>
          <w:tcPr>
            <w:tcW w:w="9493" w:type="dxa"/>
          </w:tcPr>
          <w:p w14:paraId="02150369" w14:textId="77777777" w:rsidR="00F25732" w:rsidRDefault="00F25732" w:rsidP="00857C5E">
            <w:pPr>
              <w:keepNext/>
              <w:keepLines/>
              <w:spacing w:before="120" w:after="120"/>
              <w:rPr>
                <w:rFonts w:ascii="Arial" w:hAnsi="Arial" w:cs="Arial"/>
                <w:bCs/>
              </w:rPr>
            </w:pPr>
            <w:r w:rsidRPr="00F25732">
              <w:rPr>
                <w:rFonts w:ascii="Arial" w:hAnsi="Arial" w:cs="Arial"/>
                <w:bCs/>
              </w:rPr>
              <w:t>Bear Creek Mining Corporation v. Republic of Peru (ICSID Case No. ARB/14/21)</w:t>
            </w:r>
            <w:r>
              <w:rPr>
                <w:rFonts w:ascii="Arial" w:hAnsi="Arial" w:cs="Arial"/>
                <w:bCs/>
              </w:rPr>
              <w:t>.</w:t>
            </w:r>
          </w:p>
          <w:p w14:paraId="2265E9F6" w14:textId="742214C8" w:rsidR="00F25732" w:rsidRPr="00F25732" w:rsidRDefault="00F25732" w:rsidP="00857C5E">
            <w:pPr>
              <w:keepNext/>
              <w:keepLines/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Available at: </w:t>
            </w:r>
            <w:hyperlink r:id="rId9" w:history="1">
              <w:r w:rsidRPr="004426B6">
                <w:rPr>
                  <w:rStyle w:val="Hyperlink"/>
                  <w:rFonts w:ascii="Arial" w:hAnsi="Arial" w:cs="Arial"/>
                  <w:bCs/>
                </w:rPr>
                <w:t>https://investmentpolicy.unctad.org/investment-dispute-settlement/cases/589/bear-creek-mining-v-peru</w:t>
              </w:r>
            </w:hyperlink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F25732" w14:paraId="2969B573" w14:textId="77777777" w:rsidTr="00857C5E">
        <w:tc>
          <w:tcPr>
            <w:tcW w:w="9493" w:type="dxa"/>
          </w:tcPr>
          <w:p w14:paraId="11F34319" w14:textId="77777777" w:rsidR="00F25732" w:rsidRDefault="00F25732" w:rsidP="00857C5E">
            <w:pPr>
              <w:keepNext/>
              <w:keepLines/>
              <w:spacing w:before="120" w:after="120"/>
              <w:rPr>
                <w:rFonts w:ascii="Arial" w:hAnsi="Arial" w:cs="Arial"/>
                <w:bCs/>
              </w:rPr>
            </w:pPr>
            <w:r w:rsidRPr="00F25732">
              <w:rPr>
                <w:rFonts w:ascii="Arial" w:hAnsi="Arial" w:cs="Arial"/>
                <w:bCs/>
              </w:rPr>
              <w:t>South American Silver Limited v. Bolivia, UNCITRAL, PCA case No. 2013-15</w:t>
            </w:r>
            <w:r>
              <w:rPr>
                <w:rFonts w:ascii="Arial" w:hAnsi="Arial" w:cs="Arial"/>
                <w:bCs/>
              </w:rPr>
              <w:t>.</w:t>
            </w:r>
          </w:p>
          <w:p w14:paraId="3219F8C7" w14:textId="38E0B3B8" w:rsidR="00F25732" w:rsidRPr="00F25732" w:rsidRDefault="00F25732" w:rsidP="00857C5E">
            <w:pPr>
              <w:keepNext/>
              <w:keepLines/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Available at: </w:t>
            </w:r>
            <w:hyperlink r:id="rId10" w:history="1">
              <w:r w:rsidRPr="004426B6">
                <w:rPr>
                  <w:rStyle w:val="Hyperlink"/>
                  <w:rFonts w:ascii="Arial" w:hAnsi="Arial" w:cs="Arial"/>
                  <w:bCs/>
                </w:rPr>
                <w:t>https://investmentpolicy.unctad.org/investment-dispute-settlement/cases/524/south-american-silver-v-bolivia</w:t>
              </w:r>
            </w:hyperlink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F25732" w14:paraId="00113887" w14:textId="77777777" w:rsidTr="00857C5E">
        <w:tc>
          <w:tcPr>
            <w:tcW w:w="9493" w:type="dxa"/>
          </w:tcPr>
          <w:p w14:paraId="705AF77A" w14:textId="77777777" w:rsidR="00F25732" w:rsidRDefault="00F25732" w:rsidP="00857C5E">
            <w:pPr>
              <w:keepNext/>
              <w:keepLines/>
              <w:spacing w:before="120" w:after="120"/>
              <w:rPr>
                <w:rFonts w:ascii="Arial" w:hAnsi="Arial" w:cs="Arial"/>
                <w:bCs/>
              </w:rPr>
            </w:pPr>
            <w:r w:rsidRPr="00F25732">
              <w:rPr>
                <w:rFonts w:ascii="Arial" w:hAnsi="Arial" w:cs="Arial"/>
                <w:bCs/>
              </w:rPr>
              <w:t>Grand River Enterprise Six Nations, Ltd. v. the United States (2011)</w:t>
            </w:r>
            <w:r>
              <w:rPr>
                <w:rFonts w:ascii="Arial" w:hAnsi="Arial" w:cs="Arial"/>
                <w:bCs/>
              </w:rPr>
              <w:t>.</w:t>
            </w:r>
          </w:p>
          <w:p w14:paraId="01219301" w14:textId="4AC53E7C" w:rsidR="00F25732" w:rsidRPr="00F25732" w:rsidRDefault="00F25732" w:rsidP="00857C5E">
            <w:pPr>
              <w:keepNext/>
              <w:keepLines/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Available at: </w:t>
            </w:r>
            <w:hyperlink r:id="rId11" w:history="1">
              <w:r w:rsidRPr="004426B6">
                <w:rPr>
                  <w:rStyle w:val="Hyperlink"/>
                  <w:rFonts w:ascii="Arial" w:hAnsi="Arial" w:cs="Arial"/>
                  <w:bCs/>
                </w:rPr>
                <w:t>https://investmentpolicy.unctad.org/investment-dispute-settlement/cases/140/grand-river-v-usa</w:t>
              </w:r>
            </w:hyperlink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14:paraId="5279A6D7" w14:textId="77777777" w:rsidR="001C5907" w:rsidRDefault="001C5907" w:rsidP="001C5907">
      <w:pPr>
        <w:keepNext/>
        <w:keepLines/>
        <w:spacing w:before="120" w:after="120" w:line="240" w:lineRule="auto"/>
        <w:rPr>
          <w:rFonts w:ascii="Arial" w:hAnsi="Arial" w:cs="Arial"/>
          <w:bCs/>
        </w:rPr>
      </w:pPr>
    </w:p>
    <w:p w14:paraId="1F95931C" w14:textId="758FAF6C" w:rsidR="0070686D" w:rsidRDefault="0070686D">
      <w:pPr>
        <w:rPr>
          <w:rFonts w:ascii="Arial" w:hAnsi="Arial" w:cs="Arial"/>
          <w:bCs/>
        </w:rPr>
      </w:pPr>
    </w:p>
    <w:sectPr w:rsidR="0070686D" w:rsidSect="001C5907">
      <w:headerReference w:type="default" r:id="rId12"/>
      <w:headerReference w:type="first" r:id="rId13"/>
      <w:pgSz w:w="11906" w:h="16838" w:code="9"/>
      <w:pgMar w:top="1276" w:right="1247" w:bottom="568" w:left="1247" w:header="227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95498" w14:textId="77777777" w:rsidR="007A3FFA" w:rsidRDefault="007A3FFA" w:rsidP="005F1270">
      <w:pPr>
        <w:spacing w:after="0" w:line="240" w:lineRule="auto"/>
      </w:pPr>
      <w:r>
        <w:separator/>
      </w:r>
    </w:p>
  </w:endnote>
  <w:endnote w:type="continuationSeparator" w:id="0">
    <w:p w14:paraId="53134803" w14:textId="77777777" w:rsidR="007A3FFA" w:rsidRDefault="007A3FFA" w:rsidP="005F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erif">
    <w:altName w:val="Times New Roman"/>
    <w:charset w:val="BA"/>
    <w:family w:val="roman"/>
    <w:pitch w:val="default"/>
    <w:sig w:usb0="00000000" w:usb1="00000000" w:usb2="0000002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altName w:val="Droid Sans"/>
    <w:panose1 w:val="020B06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BE2B5" w14:textId="77777777" w:rsidR="007A3FFA" w:rsidRDefault="007A3FFA" w:rsidP="005F1270">
      <w:pPr>
        <w:spacing w:after="0" w:line="240" w:lineRule="auto"/>
      </w:pPr>
      <w:r>
        <w:separator/>
      </w:r>
    </w:p>
  </w:footnote>
  <w:footnote w:type="continuationSeparator" w:id="0">
    <w:p w14:paraId="3B35C43B" w14:textId="77777777" w:rsidR="007A3FFA" w:rsidRDefault="007A3FFA" w:rsidP="005F1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9C232" w14:textId="77777777" w:rsidR="005F1270" w:rsidRDefault="005F1270" w:rsidP="000E6385">
    <w:pPr>
      <w:pStyle w:val="RGSL"/>
    </w:pPr>
  </w:p>
  <w:p w14:paraId="787BF54B" w14:textId="77777777" w:rsidR="00F65CF4" w:rsidRDefault="00F65CF4" w:rsidP="000E6385">
    <w:pPr>
      <w:pStyle w:val="RGS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8BEFA" w14:textId="1553D861" w:rsidR="00330F58" w:rsidRDefault="00330F58">
    <w:pPr>
      <w:pStyle w:val="Header"/>
    </w:pPr>
  </w:p>
  <w:p w14:paraId="7D7360C5" w14:textId="4CA0CBB7" w:rsidR="00F65CF4" w:rsidRDefault="001C5907">
    <w:pPr>
      <w:pStyle w:val="Header"/>
    </w:pPr>
    <w:r w:rsidRPr="00AA0CDB">
      <w:rPr>
        <w:noProof/>
        <w:highlight w:val="yellow"/>
        <w:lang w:eastAsia="lv-LV"/>
      </w:rPr>
      <w:drawing>
        <wp:anchor distT="0" distB="0" distL="114300" distR="114300" simplePos="0" relativeHeight="251660288" behindDoc="0" locked="0" layoutInCell="1" allowOverlap="1" wp14:anchorId="583AF3ED" wp14:editId="02ABA6BF">
          <wp:simplePos x="0" y="0"/>
          <wp:positionH relativeFrom="margin">
            <wp:posOffset>1363345</wp:posOffset>
          </wp:positionH>
          <wp:positionV relativeFrom="margin">
            <wp:posOffset>-191468</wp:posOffset>
          </wp:positionV>
          <wp:extent cx="1612265" cy="459740"/>
          <wp:effectExtent l="0" t="0" r="0" b="0"/>
          <wp:wrapSquare wrapText="bothSides"/>
          <wp:docPr id="41" name="Picture 2" descr="Image result for erasmus+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Image result for erasmus+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26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0CDB" w:rsidRPr="00AA0CDB">
      <w:rPr>
        <w:noProof/>
        <w:color w:val="B51C2A"/>
        <w:highlight w:val="yellow"/>
        <w:lang w:eastAsia="lv-LV"/>
      </w:rPr>
      <w:drawing>
        <wp:anchor distT="0" distB="0" distL="114300" distR="114300" simplePos="0" relativeHeight="251659264" behindDoc="0" locked="0" layoutInCell="1" allowOverlap="1" wp14:anchorId="432092C6" wp14:editId="53AB80C8">
          <wp:simplePos x="0" y="0"/>
          <wp:positionH relativeFrom="margin">
            <wp:posOffset>-79022</wp:posOffset>
          </wp:positionH>
          <wp:positionV relativeFrom="topMargin">
            <wp:posOffset>530367</wp:posOffset>
          </wp:positionV>
          <wp:extent cx="1272317" cy="485422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317" cy="485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538CD"/>
    <w:multiLevelType w:val="hybridMultilevel"/>
    <w:tmpl w:val="A3A6AA1A"/>
    <w:lvl w:ilvl="0" w:tplc="D2C0CD1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5773E"/>
    <w:multiLevelType w:val="hybridMultilevel"/>
    <w:tmpl w:val="A5C64AF8"/>
    <w:lvl w:ilvl="0" w:tplc="0B04E8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650FC"/>
    <w:multiLevelType w:val="hybridMultilevel"/>
    <w:tmpl w:val="BD92FAA0"/>
    <w:lvl w:ilvl="0" w:tplc="0B04E8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F36FA"/>
    <w:multiLevelType w:val="hybridMultilevel"/>
    <w:tmpl w:val="F8A20FA4"/>
    <w:lvl w:ilvl="0" w:tplc="7FA676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A58D2"/>
    <w:multiLevelType w:val="hybridMultilevel"/>
    <w:tmpl w:val="50CC1B50"/>
    <w:lvl w:ilvl="0" w:tplc="6A800B9A">
      <w:start w:val="5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FD5333"/>
    <w:multiLevelType w:val="hybridMultilevel"/>
    <w:tmpl w:val="41A0EA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97A5D"/>
    <w:multiLevelType w:val="hybridMultilevel"/>
    <w:tmpl w:val="4A48FA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30B16"/>
    <w:multiLevelType w:val="hybridMultilevel"/>
    <w:tmpl w:val="EED06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43761"/>
    <w:multiLevelType w:val="hybridMultilevel"/>
    <w:tmpl w:val="9140D0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defaultTabStop w:val="720"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0NDU3tTS3NDczMzJU0lEKTi0uzszPAykwrgUAz3Sy2SwAAAA="/>
  </w:docVars>
  <w:rsids>
    <w:rsidRoot w:val="00C65BEC"/>
    <w:rsid w:val="00010C3E"/>
    <w:rsid w:val="00025D75"/>
    <w:rsid w:val="00043113"/>
    <w:rsid w:val="0004615D"/>
    <w:rsid w:val="00050CBB"/>
    <w:rsid w:val="00056770"/>
    <w:rsid w:val="000D4DB0"/>
    <w:rsid w:val="000E6385"/>
    <w:rsid w:val="000E7B31"/>
    <w:rsid w:val="00117477"/>
    <w:rsid w:val="00160056"/>
    <w:rsid w:val="00184379"/>
    <w:rsid w:val="001B7F2C"/>
    <w:rsid w:val="001C5907"/>
    <w:rsid w:val="001E360A"/>
    <w:rsid w:val="00213738"/>
    <w:rsid w:val="00220EAC"/>
    <w:rsid w:val="0025374B"/>
    <w:rsid w:val="0025594D"/>
    <w:rsid w:val="00295609"/>
    <w:rsid w:val="002C33E8"/>
    <w:rsid w:val="002E7500"/>
    <w:rsid w:val="003246F8"/>
    <w:rsid w:val="00330F58"/>
    <w:rsid w:val="00355270"/>
    <w:rsid w:val="00387A5F"/>
    <w:rsid w:val="003B1AE5"/>
    <w:rsid w:val="0044548F"/>
    <w:rsid w:val="00464DC6"/>
    <w:rsid w:val="004A075C"/>
    <w:rsid w:val="004A6363"/>
    <w:rsid w:val="004C06DF"/>
    <w:rsid w:val="004D0E26"/>
    <w:rsid w:val="00511454"/>
    <w:rsid w:val="005312A8"/>
    <w:rsid w:val="00531F7E"/>
    <w:rsid w:val="005750FF"/>
    <w:rsid w:val="005D6F37"/>
    <w:rsid w:val="005D75F5"/>
    <w:rsid w:val="005F1270"/>
    <w:rsid w:val="005F19E6"/>
    <w:rsid w:val="00624458"/>
    <w:rsid w:val="006C5FA5"/>
    <w:rsid w:val="006D7F4D"/>
    <w:rsid w:val="0070686D"/>
    <w:rsid w:val="007301E6"/>
    <w:rsid w:val="00741603"/>
    <w:rsid w:val="00791A99"/>
    <w:rsid w:val="007A3FFA"/>
    <w:rsid w:val="007B0482"/>
    <w:rsid w:val="008117D4"/>
    <w:rsid w:val="00847B9F"/>
    <w:rsid w:val="008C7F85"/>
    <w:rsid w:val="008E03FA"/>
    <w:rsid w:val="00914034"/>
    <w:rsid w:val="00925D11"/>
    <w:rsid w:val="00933868"/>
    <w:rsid w:val="009604D5"/>
    <w:rsid w:val="00981234"/>
    <w:rsid w:val="00994C9E"/>
    <w:rsid w:val="009C7CF1"/>
    <w:rsid w:val="009F3D6C"/>
    <w:rsid w:val="009F6046"/>
    <w:rsid w:val="00A1633E"/>
    <w:rsid w:val="00A268DA"/>
    <w:rsid w:val="00A373AD"/>
    <w:rsid w:val="00A40796"/>
    <w:rsid w:val="00A548AB"/>
    <w:rsid w:val="00A56B96"/>
    <w:rsid w:val="00A665AA"/>
    <w:rsid w:val="00A85C1A"/>
    <w:rsid w:val="00A9320A"/>
    <w:rsid w:val="00AA0CDB"/>
    <w:rsid w:val="00B02604"/>
    <w:rsid w:val="00B10881"/>
    <w:rsid w:val="00B2413F"/>
    <w:rsid w:val="00B6480C"/>
    <w:rsid w:val="00B720FA"/>
    <w:rsid w:val="00B95A1D"/>
    <w:rsid w:val="00B97EEC"/>
    <w:rsid w:val="00BA47E7"/>
    <w:rsid w:val="00BB4A23"/>
    <w:rsid w:val="00BC7D03"/>
    <w:rsid w:val="00BE00D5"/>
    <w:rsid w:val="00BE373D"/>
    <w:rsid w:val="00C05D27"/>
    <w:rsid w:val="00C12D6B"/>
    <w:rsid w:val="00C401A7"/>
    <w:rsid w:val="00C47182"/>
    <w:rsid w:val="00C5277D"/>
    <w:rsid w:val="00C628BE"/>
    <w:rsid w:val="00C65BEC"/>
    <w:rsid w:val="00C76E65"/>
    <w:rsid w:val="00C91DB9"/>
    <w:rsid w:val="00C9790C"/>
    <w:rsid w:val="00CA6276"/>
    <w:rsid w:val="00CB0056"/>
    <w:rsid w:val="00CF6DB0"/>
    <w:rsid w:val="00D07498"/>
    <w:rsid w:val="00D25887"/>
    <w:rsid w:val="00D40097"/>
    <w:rsid w:val="00D40DC9"/>
    <w:rsid w:val="00D52A21"/>
    <w:rsid w:val="00D5303E"/>
    <w:rsid w:val="00D96CE1"/>
    <w:rsid w:val="00DA6696"/>
    <w:rsid w:val="00DB7703"/>
    <w:rsid w:val="00DD6B5C"/>
    <w:rsid w:val="00DD7937"/>
    <w:rsid w:val="00DE6739"/>
    <w:rsid w:val="00DF0047"/>
    <w:rsid w:val="00DF6D3C"/>
    <w:rsid w:val="00E00C4F"/>
    <w:rsid w:val="00E25397"/>
    <w:rsid w:val="00E26F04"/>
    <w:rsid w:val="00E31867"/>
    <w:rsid w:val="00E463A7"/>
    <w:rsid w:val="00E47304"/>
    <w:rsid w:val="00E81306"/>
    <w:rsid w:val="00E83726"/>
    <w:rsid w:val="00E97746"/>
    <w:rsid w:val="00EB07F3"/>
    <w:rsid w:val="00EC0E2C"/>
    <w:rsid w:val="00EE100B"/>
    <w:rsid w:val="00EE47C9"/>
    <w:rsid w:val="00F25456"/>
    <w:rsid w:val="00F25732"/>
    <w:rsid w:val="00F4262E"/>
    <w:rsid w:val="00F61FD6"/>
    <w:rsid w:val="00F65CF4"/>
    <w:rsid w:val="00F825AB"/>
    <w:rsid w:val="00FB0247"/>
    <w:rsid w:val="00FB33CA"/>
    <w:rsid w:val="00FB5E10"/>
    <w:rsid w:val="00FC05D6"/>
    <w:rsid w:val="00FD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5256B"/>
  <w15:docId w15:val="{B56A36C8-BA60-412A-9D91-6F0D482F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GSL">
    <w:name w:val="RGSL"/>
    <w:basedOn w:val="Normal"/>
    <w:link w:val="RGSLChar"/>
    <w:qFormat/>
    <w:rsid w:val="00A1633E"/>
    <w:rPr>
      <w:rFonts w:ascii="Droid Serif" w:hAnsi="Droid Serif"/>
      <w:sz w:val="20"/>
    </w:rPr>
  </w:style>
  <w:style w:type="character" w:customStyle="1" w:styleId="RGSLChar">
    <w:name w:val="RGSL Char"/>
    <w:basedOn w:val="DefaultParagraphFont"/>
    <w:link w:val="RGSL"/>
    <w:rsid w:val="00A1633E"/>
    <w:rPr>
      <w:rFonts w:ascii="Droid Serif" w:hAnsi="Droid Serif"/>
      <w:sz w:val="20"/>
    </w:rPr>
  </w:style>
  <w:style w:type="paragraph" w:styleId="Header">
    <w:name w:val="header"/>
    <w:basedOn w:val="Normal"/>
    <w:link w:val="HeaderChar"/>
    <w:uiPriority w:val="99"/>
    <w:unhideWhenUsed/>
    <w:rsid w:val="005F12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270"/>
  </w:style>
  <w:style w:type="paragraph" w:styleId="Footer">
    <w:name w:val="footer"/>
    <w:basedOn w:val="Normal"/>
    <w:link w:val="FooterChar"/>
    <w:uiPriority w:val="99"/>
    <w:unhideWhenUsed/>
    <w:rsid w:val="005F12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270"/>
  </w:style>
  <w:style w:type="table" w:styleId="TableGrid">
    <w:name w:val="Table Grid"/>
    <w:basedOn w:val="TableNormal"/>
    <w:uiPriority w:val="59"/>
    <w:rsid w:val="005F1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0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5FA5"/>
    <w:pPr>
      <w:spacing w:after="200" w:line="276" w:lineRule="auto"/>
      <w:ind w:left="720"/>
      <w:contextualSpacing/>
    </w:pPr>
    <w:rPr>
      <w:rFonts w:eastAsiaTheme="minorEastAsia"/>
      <w:lang w:eastAsia="zh-TW"/>
    </w:rPr>
  </w:style>
  <w:style w:type="character" w:styleId="Hyperlink">
    <w:name w:val="Hyperlink"/>
    <w:basedOn w:val="DefaultParagraphFont"/>
    <w:uiPriority w:val="99"/>
    <w:unhideWhenUsed/>
    <w:qFormat/>
    <w:rsid w:val="00C05D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5397"/>
    <w:rPr>
      <w:color w:val="954F72" w:themeColor="followedHyperlink"/>
      <w:u w:val="single"/>
    </w:rPr>
  </w:style>
  <w:style w:type="paragraph" w:customStyle="1" w:styleId="Default">
    <w:name w:val="Default"/>
    <w:rsid w:val="007B0482"/>
    <w:pPr>
      <w:autoSpaceDE w:val="0"/>
      <w:autoSpaceDN w:val="0"/>
      <w:adjustRightInd w:val="0"/>
      <w:spacing w:after="0" w:line="240" w:lineRule="auto"/>
    </w:pPr>
    <w:rPr>
      <w:rFonts w:ascii="Droid Sans" w:hAnsi="Droid Sans" w:cs="Droid Sans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25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4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mentpolicy.unctad.org/investment-dispute-settlement/cases/341/chevron-and-texpet-v-ecuador-ii-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vestmentpolicy.unctad.org/investment-dispute-settlement/cases/140/grand-river-v-us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vestmentpolicy.unctad.org/investment-dispute-settlement/cases/524/south-american-silver-v-boliv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vestmentpolicy.unctad.org/investment-dispute-settlement/cases/589/bear-creek-mining-v-per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ena.muraskina\AppData\Local\Microsoft\Windows\Temporary%20Internet%20Files\Content.Outlook\BIU2XI2R\RGSL_veidlapa_LV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B85D0-3D92-4D14-8F19-1F7C3E07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RGSL_veidlapa_LV (3)</Template>
  <TotalTime>1033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liena.muraskina</dc:creator>
  <cp:lastModifiedBy>User</cp:lastModifiedBy>
  <cp:revision>31</cp:revision>
  <cp:lastPrinted>2019-10-03T12:20:00Z</cp:lastPrinted>
  <dcterms:created xsi:type="dcterms:W3CDTF">2019-10-03T13:41:00Z</dcterms:created>
  <dcterms:modified xsi:type="dcterms:W3CDTF">2021-01-04T11:52:00Z</dcterms:modified>
</cp:coreProperties>
</file>